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w:t>
      </w:r>
      <w:proofErr w:type="gramStart"/>
      <w:r w:rsidR="00556F39" w:rsidRPr="00556F39">
        <w:rPr>
          <w:rFonts w:ascii="Times New Roman" w:hAnsi="Times New Roman"/>
          <w:sz w:val="22"/>
          <w:szCs w:val="22"/>
        </w:rPr>
        <w:t>particular situations</w:t>
      </w:r>
      <w:proofErr w:type="gramEnd"/>
      <w:r w:rsidR="00556F39" w:rsidRPr="00556F39">
        <w:rPr>
          <w:rFonts w:ascii="Times New Roman" w:hAnsi="Times New Roman"/>
          <w:sz w:val="22"/>
          <w:szCs w:val="22"/>
        </w:rPr>
        <w:t xml:space="preserve">.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686786BB" w14:textId="77777777" w:rsidR="00C65920" w:rsidRPr="008677EF" w:rsidRDefault="00C65920" w:rsidP="00C65920">
      <w:pPr>
        <w:spacing w:before="0" w:after="0"/>
        <w:ind w:left="709" w:hanging="142"/>
        <w:jc w:val="both"/>
        <w:rPr>
          <w:rFonts w:ascii="Times New Roman" w:hAnsi="Times New Roman"/>
          <w:sz w:val="22"/>
        </w:rPr>
      </w:pPr>
      <w:bookmarkStart w:id="3" w:name="_Hlk132980677"/>
      <w:r w:rsidRPr="008677EF">
        <w:rPr>
          <w:rFonts w:ascii="Times New Roman" w:hAnsi="Times New Roman"/>
          <w:sz w:val="22"/>
        </w:rPr>
        <w:t>the supply and delivery, of the following supplies:</w:t>
      </w:r>
    </w:p>
    <w:p w14:paraId="66A89EC8" w14:textId="77777777" w:rsidR="00C65920" w:rsidRPr="008677EF" w:rsidRDefault="00C65920" w:rsidP="00C65920">
      <w:pPr>
        <w:spacing w:before="0" w:after="0"/>
        <w:ind w:left="709" w:hanging="142"/>
        <w:jc w:val="both"/>
        <w:rPr>
          <w:rFonts w:ascii="Times New Roman" w:hAnsi="Times New Roman"/>
          <w:sz w:val="22"/>
        </w:rPr>
      </w:pPr>
    </w:p>
    <w:p w14:paraId="6DE0393E" w14:textId="77777777" w:rsidR="00C65920" w:rsidRPr="008677EF" w:rsidRDefault="00C65920" w:rsidP="00C65920">
      <w:pPr>
        <w:spacing w:before="0" w:after="0"/>
        <w:ind w:left="709" w:hanging="142"/>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C65920" w:rsidRPr="008677EF" w14:paraId="04C5F113" w14:textId="77777777" w:rsidTr="00CC7405">
        <w:trPr>
          <w:jc w:val="center"/>
        </w:trPr>
        <w:tc>
          <w:tcPr>
            <w:tcW w:w="980" w:type="dxa"/>
          </w:tcPr>
          <w:p w14:paraId="4E00F084" w14:textId="77777777" w:rsidR="00C65920" w:rsidRPr="008677EF" w:rsidRDefault="00C65920" w:rsidP="00CC7405">
            <w:pPr>
              <w:tabs>
                <w:tab w:val="left" w:pos="709"/>
                <w:tab w:val="left" w:pos="993"/>
              </w:tabs>
              <w:spacing w:before="0"/>
              <w:jc w:val="both"/>
              <w:rPr>
                <w:rFonts w:ascii="Times New Roman" w:hAnsi="Times New Roman"/>
                <w:b/>
              </w:rPr>
            </w:pPr>
            <w:r w:rsidRPr="008677EF">
              <w:rPr>
                <w:rFonts w:ascii="Times New Roman" w:hAnsi="Times New Roman"/>
                <w:b/>
              </w:rPr>
              <w:t>Item No</w:t>
            </w:r>
          </w:p>
        </w:tc>
        <w:tc>
          <w:tcPr>
            <w:tcW w:w="3309" w:type="dxa"/>
          </w:tcPr>
          <w:p w14:paraId="1517CE80" w14:textId="77777777" w:rsidR="00C65920" w:rsidRPr="008677EF" w:rsidRDefault="00C65920" w:rsidP="00CC7405">
            <w:pPr>
              <w:tabs>
                <w:tab w:val="left" w:pos="709"/>
                <w:tab w:val="left" w:pos="993"/>
              </w:tabs>
              <w:spacing w:before="0"/>
              <w:jc w:val="both"/>
              <w:rPr>
                <w:rFonts w:ascii="Times New Roman" w:hAnsi="Times New Roman"/>
                <w:b/>
              </w:rPr>
            </w:pPr>
            <w:r w:rsidRPr="008677EF">
              <w:rPr>
                <w:rFonts w:ascii="Times New Roman" w:hAnsi="Times New Roman"/>
                <w:b/>
              </w:rPr>
              <w:t>Name of supplies</w:t>
            </w:r>
          </w:p>
        </w:tc>
        <w:tc>
          <w:tcPr>
            <w:tcW w:w="1134" w:type="dxa"/>
          </w:tcPr>
          <w:p w14:paraId="4D59B01C" w14:textId="77777777" w:rsidR="00C65920" w:rsidRPr="008677EF" w:rsidRDefault="00C65920" w:rsidP="00CC7405">
            <w:pPr>
              <w:tabs>
                <w:tab w:val="left" w:pos="709"/>
                <w:tab w:val="left" w:pos="993"/>
              </w:tabs>
              <w:spacing w:before="0"/>
              <w:jc w:val="both"/>
              <w:rPr>
                <w:rFonts w:ascii="Times New Roman" w:hAnsi="Times New Roman"/>
                <w:b/>
              </w:rPr>
            </w:pPr>
            <w:r w:rsidRPr="008677EF">
              <w:rPr>
                <w:rFonts w:ascii="Times New Roman" w:hAnsi="Times New Roman"/>
                <w:b/>
              </w:rPr>
              <w:t>Qty.</w:t>
            </w:r>
          </w:p>
        </w:tc>
      </w:tr>
      <w:tr w:rsidR="00C65920" w:rsidRPr="008677EF" w14:paraId="30816E6D" w14:textId="77777777" w:rsidTr="00CC7405">
        <w:trPr>
          <w:jc w:val="center"/>
        </w:trPr>
        <w:tc>
          <w:tcPr>
            <w:tcW w:w="980" w:type="dxa"/>
            <w:vAlign w:val="center"/>
          </w:tcPr>
          <w:p w14:paraId="38BE23A5" w14:textId="77777777" w:rsidR="00C65920" w:rsidRPr="008677EF" w:rsidRDefault="00C65920" w:rsidP="00CC7405">
            <w:pPr>
              <w:tabs>
                <w:tab w:val="left" w:pos="709"/>
                <w:tab w:val="left" w:pos="993"/>
              </w:tabs>
              <w:spacing w:before="0"/>
              <w:jc w:val="center"/>
              <w:rPr>
                <w:rFonts w:ascii="Times New Roman" w:hAnsi="Times New Roman"/>
              </w:rPr>
            </w:pPr>
            <w:r w:rsidRPr="008677EF">
              <w:rPr>
                <w:rFonts w:ascii="Times New Roman" w:hAnsi="Times New Roman"/>
              </w:rPr>
              <w:t>1</w:t>
            </w:r>
          </w:p>
        </w:tc>
        <w:tc>
          <w:tcPr>
            <w:tcW w:w="3309" w:type="dxa"/>
            <w:vAlign w:val="center"/>
          </w:tcPr>
          <w:p w14:paraId="716A3E31" w14:textId="77777777" w:rsidR="00C65920" w:rsidRPr="008677EF" w:rsidRDefault="00C65920" w:rsidP="00CC7405">
            <w:pPr>
              <w:tabs>
                <w:tab w:val="left" w:pos="709"/>
                <w:tab w:val="left" w:pos="993"/>
              </w:tabs>
              <w:spacing w:before="0"/>
              <w:rPr>
                <w:rFonts w:ascii="Times New Roman" w:hAnsi="Times New Roman"/>
              </w:rPr>
            </w:pPr>
            <w:r w:rsidRPr="008677EF">
              <w:rPr>
                <w:rFonts w:ascii="Times New Roman" w:hAnsi="Times New Roman"/>
              </w:rPr>
              <w:t xml:space="preserve">Special vehicle with camera system for pipeline inspection </w:t>
            </w:r>
          </w:p>
        </w:tc>
        <w:tc>
          <w:tcPr>
            <w:tcW w:w="1134" w:type="dxa"/>
            <w:vAlign w:val="center"/>
          </w:tcPr>
          <w:p w14:paraId="13E0C20F" w14:textId="77777777" w:rsidR="00C65920" w:rsidRPr="008677EF" w:rsidRDefault="00C65920" w:rsidP="00CC7405">
            <w:pPr>
              <w:tabs>
                <w:tab w:val="left" w:pos="709"/>
                <w:tab w:val="left" w:pos="993"/>
              </w:tabs>
              <w:spacing w:before="0"/>
              <w:rPr>
                <w:rFonts w:ascii="Times New Roman" w:hAnsi="Times New Roman"/>
              </w:rPr>
            </w:pPr>
            <w:r w:rsidRPr="008677EF">
              <w:rPr>
                <w:rFonts w:ascii="Times New Roman" w:hAnsi="Times New Roman"/>
              </w:rPr>
              <w:t>1 pc</w:t>
            </w:r>
          </w:p>
        </w:tc>
      </w:tr>
    </w:tbl>
    <w:p w14:paraId="70760F2E" w14:textId="77777777" w:rsidR="00C65920" w:rsidRPr="008677EF" w:rsidRDefault="00C65920" w:rsidP="00C65920">
      <w:pPr>
        <w:spacing w:before="0" w:after="0"/>
        <w:ind w:left="709" w:hanging="142"/>
        <w:jc w:val="both"/>
      </w:pP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 xml:space="preserve">the main </w:t>
      </w:r>
      <w:proofErr w:type="gramStart"/>
      <w:r>
        <w:rPr>
          <w:rFonts w:ascii="Times New Roman" w:hAnsi="Times New Roman"/>
          <w:sz w:val="22"/>
        </w:rPr>
        <w:t>conditions</w:t>
      </w:r>
      <w:r w:rsidRPr="00C05EBE">
        <w:rPr>
          <w:rFonts w:ascii="Times New Roman" w:hAnsi="Times New Roman"/>
          <w:sz w:val="22"/>
        </w:rPr>
        <w:t>;</w:t>
      </w:r>
      <w:proofErr w:type="gramEnd"/>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special </w:t>
      </w:r>
      <w:proofErr w:type="gramStart"/>
      <w:r w:rsidRPr="00C05EBE">
        <w:rPr>
          <w:rFonts w:ascii="Times New Roman" w:hAnsi="Times New Roman"/>
          <w:sz w:val="22"/>
        </w:rPr>
        <w:t>conditions</w:t>
      </w:r>
      <w:r>
        <w:rPr>
          <w:rFonts w:ascii="Times New Roman" w:hAnsi="Times New Roman"/>
          <w:sz w:val="22"/>
        </w:rPr>
        <w:t>;</w:t>
      </w:r>
      <w:proofErr w:type="gramEnd"/>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roofErr w:type="gramStart"/>
      <w:r w:rsidRPr="00C05EBE">
        <w:rPr>
          <w:rFonts w:ascii="Times New Roman" w:hAnsi="Times New Roman"/>
          <w:sz w:val="22"/>
        </w:rPr>
        <w:t>);</w:t>
      </w:r>
      <w:proofErr w:type="gramEnd"/>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roofErr w:type="gramStart"/>
      <w:r w:rsidRPr="00C05EBE">
        <w:rPr>
          <w:rFonts w:ascii="Times New Roman" w:hAnsi="Times New Roman"/>
          <w:sz w:val="22"/>
        </w:rPr>
        <w:t>];</w:t>
      </w:r>
      <w:proofErr w:type="gramEnd"/>
    </w:p>
    <w:p w14:paraId="01FF9F87" w14:textId="5989ACAA" w:rsidR="00C05EBE" w:rsidRPr="00C65920"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w:t>
      </w:r>
      <w:r w:rsidRPr="00C65920">
        <w:rPr>
          <w:rFonts w:ascii="Times New Roman" w:hAnsi="Times New Roman"/>
          <w:sz w:val="22"/>
        </w:rPr>
        <w:t>technical offer (Annex III</w:t>
      </w:r>
      <w:proofErr w:type="gramStart"/>
      <w:r w:rsidRPr="00C65920">
        <w:rPr>
          <w:rFonts w:ascii="Times New Roman" w:hAnsi="Times New Roman"/>
          <w:sz w:val="22"/>
        </w:rPr>
        <w:t>);</w:t>
      </w:r>
      <w:proofErr w:type="gramEnd"/>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roofErr w:type="gramStart"/>
      <w:r w:rsidRPr="00C05EBE">
        <w:rPr>
          <w:rFonts w:ascii="Times New Roman" w:hAnsi="Times New Roman"/>
          <w:sz w:val="22"/>
        </w:rPr>
        <w:t>);</w:t>
      </w:r>
      <w:proofErr w:type="gramEnd"/>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7F1BE0E1" w14:textId="669E6F10" w:rsidR="003F3783" w:rsidRDefault="003F3783" w:rsidP="00C65920">
      <w:pPr>
        <w:spacing w:before="0"/>
        <w:ind w:left="1134" w:hanging="567"/>
        <w:jc w:val="both"/>
        <w:rPr>
          <w:rFonts w:ascii="Times New Roman" w:hAnsi="Times New Roman"/>
          <w:iCs/>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proofErr w:type="gramStart"/>
      <w:r w:rsidRPr="003F3783">
        <w:rPr>
          <w:rFonts w:ascii="Times New Roman" w:hAnsi="Times New Roman"/>
          <w:snapToGrid/>
          <w:sz w:val="22"/>
          <w:szCs w:val="22"/>
          <w:lang w:eastAsia="fr-BE"/>
        </w:rPr>
        <w:t>For the purpose of</w:t>
      </w:r>
      <w:proofErr w:type="gramEnd"/>
      <w:r w:rsidRPr="003F3783">
        <w:rPr>
          <w:rFonts w:ascii="Times New Roman" w:hAnsi="Times New Roman"/>
          <w:snapToGrid/>
          <w:sz w:val="22"/>
          <w:szCs w:val="22"/>
          <w:lang w:eastAsia="fr-BE"/>
        </w:rPr>
        <w:t xml:space="preserve">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C65920" w:rsidRPr="00FA214C" w14:paraId="3854F569" w14:textId="77777777" w:rsidTr="00CC7405">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77C1C366" w14:textId="77777777" w:rsidR="00C65920" w:rsidRPr="00FA214C" w:rsidRDefault="00C65920" w:rsidP="00CC7405">
            <w:pPr>
              <w:spacing w:before="0" w:after="0"/>
              <w:ind w:left="1134" w:hanging="1134"/>
              <w:jc w:val="both"/>
              <w:rPr>
                <w:rFonts w:ascii="Times New Roman" w:hAnsi="Times New Roman"/>
                <w:b/>
                <w:sz w:val="22"/>
                <w:szCs w:val="22"/>
              </w:rPr>
            </w:pPr>
            <w:r w:rsidRPr="00FA214C">
              <w:rPr>
                <w:rFonts w:ascii="Times New Roman" w:hAnsi="Times New Roman"/>
                <w:b/>
                <w:sz w:val="22"/>
                <w:szCs w:val="22"/>
              </w:rPr>
              <w:lastRenderedPageBreak/>
              <w:t>Name:</w:t>
            </w:r>
          </w:p>
        </w:tc>
        <w:tc>
          <w:tcPr>
            <w:tcW w:w="6324" w:type="dxa"/>
            <w:tcBorders>
              <w:top w:val="single" w:sz="4" w:space="0" w:color="auto"/>
              <w:left w:val="single" w:sz="4" w:space="0" w:color="auto"/>
              <w:bottom w:val="single" w:sz="4" w:space="0" w:color="auto"/>
              <w:right w:val="single" w:sz="4" w:space="0" w:color="auto"/>
            </w:tcBorders>
            <w:vAlign w:val="center"/>
          </w:tcPr>
          <w:p w14:paraId="5F72207B" w14:textId="77777777" w:rsidR="00C65920" w:rsidRPr="00FA214C" w:rsidRDefault="00C65920" w:rsidP="00CC7405">
            <w:pPr>
              <w:snapToGrid w:val="0"/>
              <w:rPr>
                <w:bCs/>
                <w:sz w:val="22"/>
                <w:szCs w:val="22"/>
              </w:rPr>
            </w:pPr>
            <w:r w:rsidRPr="00FA214C">
              <w:rPr>
                <w:bCs/>
                <w:sz w:val="22"/>
                <w:szCs w:val="22"/>
              </w:rPr>
              <w:t>POTISKI VODOVODI-TISZA MENTI VIZMUVEK DOO HORGOŠ</w:t>
            </w:r>
          </w:p>
        </w:tc>
      </w:tr>
      <w:tr w:rsidR="00C65920" w:rsidRPr="00FA214C" w14:paraId="6B365917" w14:textId="77777777" w:rsidTr="00CC7405">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E57981C" w14:textId="77777777" w:rsidR="00C65920" w:rsidRPr="00FA214C" w:rsidRDefault="00C65920" w:rsidP="00CC7405">
            <w:pPr>
              <w:spacing w:before="0" w:after="0"/>
              <w:ind w:left="1134" w:hanging="1134"/>
              <w:jc w:val="both"/>
              <w:rPr>
                <w:rFonts w:ascii="Times New Roman" w:hAnsi="Times New Roman"/>
                <w:b/>
                <w:sz w:val="22"/>
                <w:szCs w:val="22"/>
              </w:rPr>
            </w:pPr>
            <w:r w:rsidRPr="00FA214C">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71733147" w14:textId="77777777" w:rsidR="00C65920" w:rsidRPr="00FA214C" w:rsidRDefault="00C65920" w:rsidP="00CC7405">
            <w:pPr>
              <w:spacing w:before="0" w:after="0"/>
              <w:jc w:val="both"/>
              <w:rPr>
                <w:rFonts w:ascii="Times New Roman" w:hAnsi="Times New Roman"/>
                <w:bCs/>
                <w:sz w:val="22"/>
                <w:lang w:eastAsia="lt-LT"/>
              </w:rPr>
            </w:pPr>
            <w:proofErr w:type="spellStart"/>
            <w:r w:rsidRPr="00FA214C">
              <w:rPr>
                <w:bCs/>
                <w:sz w:val="22"/>
                <w:szCs w:val="22"/>
              </w:rPr>
              <w:t>Železnička</w:t>
            </w:r>
            <w:proofErr w:type="spellEnd"/>
            <w:r w:rsidRPr="00FA214C">
              <w:rPr>
                <w:bCs/>
                <w:sz w:val="22"/>
                <w:szCs w:val="22"/>
              </w:rPr>
              <w:t xml:space="preserve"> 22, 24410 </w:t>
            </w:r>
            <w:proofErr w:type="spellStart"/>
            <w:r w:rsidRPr="00FA214C">
              <w:rPr>
                <w:bCs/>
                <w:sz w:val="22"/>
                <w:szCs w:val="22"/>
              </w:rPr>
              <w:t>Horgoš</w:t>
            </w:r>
            <w:proofErr w:type="spellEnd"/>
          </w:p>
        </w:tc>
      </w:tr>
      <w:tr w:rsidR="00C65920" w:rsidRPr="00FA214C" w14:paraId="709C97C4" w14:textId="77777777" w:rsidTr="00CC7405">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F04C191" w14:textId="77777777" w:rsidR="00C65920" w:rsidRPr="00FA214C" w:rsidRDefault="00C65920" w:rsidP="00CC7405">
            <w:pPr>
              <w:spacing w:before="0" w:after="0"/>
              <w:ind w:left="1134" w:hanging="1134"/>
              <w:jc w:val="both"/>
              <w:rPr>
                <w:rFonts w:ascii="Times New Roman" w:hAnsi="Times New Roman"/>
                <w:b/>
                <w:sz w:val="22"/>
                <w:szCs w:val="22"/>
              </w:rPr>
            </w:pPr>
            <w:r w:rsidRPr="00FA214C">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482950C" w14:textId="77777777" w:rsidR="00C65920" w:rsidRPr="00FA214C" w:rsidRDefault="00C65920" w:rsidP="00CC7405">
            <w:pPr>
              <w:spacing w:before="0" w:after="0"/>
              <w:ind w:left="1134" w:hanging="1134"/>
              <w:jc w:val="both"/>
              <w:rPr>
                <w:rFonts w:ascii="Times New Roman" w:hAnsi="Times New Roman"/>
                <w:bCs/>
                <w:sz w:val="22"/>
                <w:szCs w:val="22"/>
              </w:rPr>
            </w:pPr>
            <w:r w:rsidRPr="00FA214C">
              <w:rPr>
                <w:rFonts w:ascii="Times New Roman" w:hAnsi="Times New Roman"/>
                <w:bCs/>
                <w:sz w:val="22"/>
                <w:szCs w:val="22"/>
              </w:rPr>
              <w:t>024/792-050</w:t>
            </w:r>
          </w:p>
        </w:tc>
      </w:tr>
      <w:tr w:rsidR="00C65920" w:rsidRPr="00FA214C" w14:paraId="7036871D" w14:textId="77777777" w:rsidTr="00CC7405">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42773310" w14:textId="77777777" w:rsidR="00C65920" w:rsidRPr="00FA214C" w:rsidRDefault="00C65920" w:rsidP="00CC7405">
            <w:pPr>
              <w:spacing w:before="0" w:after="0"/>
              <w:ind w:left="1134" w:hanging="1134"/>
              <w:jc w:val="both"/>
              <w:rPr>
                <w:rFonts w:ascii="Times New Roman" w:hAnsi="Times New Roman"/>
                <w:b/>
                <w:sz w:val="22"/>
                <w:szCs w:val="22"/>
              </w:rPr>
            </w:pPr>
            <w:r w:rsidRPr="00FA214C">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71EEC633" w14:textId="77777777" w:rsidR="00C65920" w:rsidRPr="00FA214C" w:rsidRDefault="00C65920" w:rsidP="00CC7405">
            <w:pPr>
              <w:spacing w:before="0" w:after="0"/>
              <w:ind w:left="1134" w:hanging="1134"/>
              <w:jc w:val="both"/>
              <w:rPr>
                <w:rFonts w:ascii="Times New Roman" w:hAnsi="Times New Roman"/>
                <w:sz w:val="22"/>
                <w:szCs w:val="22"/>
                <w:lang w:val="en-US"/>
              </w:rPr>
            </w:pPr>
            <w:r w:rsidRPr="00FA214C">
              <w:rPr>
                <w:rFonts w:ascii="Times New Roman" w:hAnsi="Times New Roman"/>
                <w:sz w:val="22"/>
                <w:szCs w:val="22"/>
                <w:lang w:val="en-US"/>
              </w:rPr>
              <w:t>javne.nabavke@vodaho.rs</w:t>
            </w:r>
          </w:p>
        </w:tc>
      </w:tr>
    </w:tbl>
    <w:p w14:paraId="5921C590" w14:textId="77777777" w:rsidR="00C65920" w:rsidRPr="003F3783" w:rsidRDefault="00C65920" w:rsidP="00B5440B">
      <w:pPr>
        <w:spacing w:before="0"/>
        <w:ind w:left="1134"/>
        <w:textAlignment w:val="baseline"/>
        <w:rPr>
          <w:rFonts w:ascii="Times New Roman" w:hAnsi="Times New Roman"/>
          <w:snapToGrid/>
          <w:sz w:val="22"/>
          <w:szCs w:val="22"/>
          <w:lang w:eastAsia="fr-BE"/>
        </w:rPr>
      </w:pP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22185F1E"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7" w:name="_Toc124934898"/>
      <w:bookmarkEnd w:id="6"/>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2E5F4053" w14:textId="045991DB" w:rsidR="00C65920" w:rsidRPr="00FA214C" w:rsidRDefault="00C65920" w:rsidP="00C65920">
      <w:pPr>
        <w:jc w:val="both"/>
        <w:rPr>
          <w:rFonts w:ascii="Times New Roman" w:hAnsi="Times New Roman"/>
          <w:sz w:val="22"/>
          <w:szCs w:val="22"/>
        </w:rPr>
      </w:pPr>
      <w:bookmarkStart w:id="8" w:name="_Toc124934899"/>
      <w:r w:rsidRPr="00FA214C">
        <w:rPr>
          <w:rFonts w:ascii="Times New Roman" w:hAnsi="Times New Roman"/>
          <w:sz w:val="22"/>
          <w:szCs w:val="22"/>
        </w:rPr>
        <w:t>Together with the delivery</w:t>
      </w:r>
      <w:r w:rsidR="00466A21">
        <w:rPr>
          <w:rFonts w:ascii="Times New Roman" w:hAnsi="Times New Roman"/>
          <w:sz w:val="22"/>
          <w:szCs w:val="22"/>
        </w:rPr>
        <w:t>,</w:t>
      </w:r>
      <w:r w:rsidRPr="00FA214C">
        <w:rPr>
          <w:rFonts w:ascii="Times New Roman" w:hAnsi="Times New Roman"/>
          <w:sz w:val="22"/>
          <w:szCs w:val="22"/>
        </w:rPr>
        <w:t xml:space="preserve"> the Contractor shall supply: </w:t>
      </w:r>
    </w:p>
    <w:p w14:paraId="17337A1C" w14:textId="77777777" w:rsidR="00C65920" w:rsidRPr="00FA214C" w:rsidRDefault="00C65920" w:rsidP="00C65920">
      <w:pPr>
        <w:ind w:left="1134" w:hanging="1134"/>
        <w:jc w:val="both"/>
        <w:rPr>
          <w:rFonts w:ascii="Times New Roman" w:hAnsi="Times New Roman"/>
          <w:sz w:val="22"/>
          <w:szCs w:val="22"/>
        </w:rPr>
      </w:pPr>
      <w:r w:rsidRPr="00FA214C">
        <w:rPr>
          <w:rFonts w:ascii="Times New Roman" w:hAnsi="Times New Roman"/>
          <w:sz w:val="22"/>
          <w:szCs w:val="22"/>
        </w:rPr>
        <w:t>Warranty Certificate</w:t>
      </w:r>
    </w:p>
    <w:p w14:paraId="2CE0425D" w14:textId="77777777" w:rsidR="00C65920" w:rsidRPr="00FA214C" w:rsidRDefault="00C65920" w:rsidP="00C65920">
      <w:pPr>
        <w:jc w:val="both"/>
        <w:rPr>
          <w:rFonts w:ascii="Times New Roman" w:hAnsi="Times New Roman"/>
          <w:sz w:val="22"/>
          <w:szCs w:val="22"/>
        </w:rPr>
      </w:pPr>
      <w:r w:rsidRPr="00FA214C">
        <w:rPr>
          <w:rFonts w:ascii="Times New Roman" w:hAnsi="Times New Roman"/>
          <w:sz w:val="22"/>
          <w:szCs w:val="22"/>
        </w:rPr>
        <w:t>For all required characteristics, the bidder is obligated to submit appropriate catalogues, prospectuses, certificate/declaration of conformity, maintenance and user manuals, etc., in</w:t>
      </w:r>
      <w:r w:rsidRPr="00FA214C">
        <w:rPr>
          <w:rFonts w:ascii="Times New Roman" w:hAnsi="Times New Roman"/>
          <w:color w:val="00B0F0"/>
          <w:sz w:val="22"/>
          <w:szCs w:val="22"/>
        </w:rPr>
        <w:t xml:space="preserve"> </w:t>
      </w:r>
      <w:r w:rsidRPr="00FA214C">
        <w:rPr>
          <w:rFonts w:ascii="Times New Roman" w:hAnsi="Times New Roman"/>
          <w:sz w:val="22"/>
          <w:szCs w:val="22"/>
        </w:rPr>
        <w:t xml:space="preserve">Serbian or translated into Serbian, if any offer product of a foreign manufacturer, on which the products will be marked and their required characteristics.  </w:t>
      </w:r>
    </w:p>
    <w:p w14:paraId="325EBA7C" w14:textId="77777777" w:rsidR="00C65920" w:rsidRPr="00FA214C" w:rsidRDefault="00C65920" w:rsidP="00C65920">
      <w:pPr>
        <w:jc w:val="both"/>
        <w:rPr>
          <w:rFonts w:ascii="Times New Roman" w:hAnsi="Times New Roman"/>
          <w:sz w:val="22"/>
          <w:szCs w:val="22"/>
        </w:rPr>
      </w:pPr>
      <w:r w:rsidRPr="00FA214C">
        <w:rPr>
          <w:rFonts w:ascii="Times New Roman" w:hAnsi="Times New Roman"/>
          <w:sz w:val="22"/>
          <w:szCs w:val="22"/>
        </w:rPr>
        <w:t>Certificate of the Road Traffic Safety Agency on vehicles testing, and all documents which are necessary for registration of the motor vehicles.</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65B05300" w14:textId="77777777" w:rsidR="00C65920" w:rsidRPr="00FA214C" w:rsidRDefault="00C65920" w:rsidP="00C65920">
      <w:pPr>
        <w:jc w:val="both"/>
        <w:rPr>
          <w:rFonts w:ascii="Times New Roman" w:hAnsi="Times New Roman"/>
          <w:sz w:val="22"/>
          <w:szCs w:val="22"/>
        </w:rPr>
      </w:pPr>
      <w:r w:rsidRPr="00FA214C">
        <w:rPr>
          <w:rFonts w:ascii="Times New Roman" w:hAnsi="Times New Roman"/>
          <w:sz w:val="22"/>
          <w:szCs w:val="22"/>
        </w:rPr>
        <w:t>The Contractor shall, in performing the Contract, comply with all applicable national laws.</w:t>
      </w:r>
    </w:p>
    <w:p w14:paraId="386D0A48" w14:textId="013DCE21" w:rsidR="00C65920" w:rsidRPr="00FA214C" w:rsidRDefault="00C65920" w:rsidP="00C65920">
      <w:pPr>
        <w:jc w:val="both"/>
        <w:rPr>
          <w:rFonts w:ascii="Times New Roman" w:hAnsi="Times New Roman"/>
          <w:sz w:val="22"/>
          <w:szCs w:val="22"/>
        </w:rPr>
      </w:pPr>
      <w:r w:rsidRPr="00FA214C">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w:t>
      </w:r>
      <w:r w:rsidR="00466A21">
        <w:rPr>
          <w:rFonts w:ascii="Times New Roman" w:hAnsi="Times New Roman"/>
          <w:sz w:val="22"/>
          <w:szCs w:val="22"/>
        </w:rPr>
        <w:t>concerning</w:t>
      </w:r>
      <w:r w:rsidRPr="00FA214C">
        <w:rPr>
          <w:rFonts w:ascii="Times New Roman" w:hAnsi="Times New Roman"/>
          <w:sz w:val="22"/>
          <w:szCs w:val="22"/>
        </w:rPr>
        <w:t xml:space="preserve"> the contract. The Contractor is responsible to become timely acquainted with any relevant legal provisions in force in Serbia, including those that may be required by the different national competent authorities for import, permitting, or customs clearance of the goods </w:t>
      </w:r>
      <w:r w:rsidR="00466A21">
        <w:rPr>
          <w:rFonts w:ascii="Times New Roman" w:hAnsi="Times New Roman"/>
          <w:sz w:val="22"/>
          <w:szCs w:val="22"/>
        </w:rPr>
        <w:t>to</w:t>
      </w:r>
      <w:r w:rsidRPr="00FA214C">
        <w:rPr>
          <w:rFonts w:ascii="Times New Roman" w:hAnsi="Times New Roman"/>
          <w:sz w:val="22"/>
          <w:szCs w:val="22"/>
        </w:rPr>
        <w:t xml:space="preserve"> avoid any associated delays during the implementation period. </w:t>
      </w:r>
    </w:p>
    <w:p w14:paraId="4A30397B" w14:textId="77777777" w:rsidR="00C65920" w:rsidRPr="00FA214C" w:rsidRDefault="00C65920" w:rsidP="00C65920">
      <w:pPr>
        <w:jc w:val="both"/>
        <w:rPr>
          <w:rFonts w:ascii="Times New Roman" w:hAnsi="Times New Roman"/>
          <w:sz w:val="22"/>
          <w:szCs w:val="22"/>
        </w:rPr>
      </w:pPr>
      <w:r w:rsidRPr="00FA214C">
        <w:rPr>
          <w:rFonts w:ascii="Times New Roman" w:hAnsi="Times New Roman"/>
          <w:sz w:val="22"/>
          <w:szCs w:val="22"/>
        </w:rPr>
        <w:t>Before giving the offer or defining the selected vehicle manufacturer and model, the potential tenderer is obliged to determine in the Agency for Traffic Safety whether the subject vehicle is on the list of vehicles that can be imported and registered on the territory of the Republic of Serbia, and the evidence for that must be a component of the tender documentation.</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7BE0E00B" w14:textId="77777777" w:rsidR="00C65920" w:rsidRDefault="00E0396B" w:rsidP="00C65920">
      <w:pPr>
        <w:tabs>
          <w:tab w:val="left" w:pos="426"/>
        </w:tabs>
        <w:ind w:left="142" w:right="-2"/>
        <w:jc w:val="both"/>
        <w:rPr>
          <w:rFonts w:ascii="Times New Roman" w:hAnsi="Times New Roman"/>
          <w:sz w:val="22"/>
          <w:szCs w:val="22"/>
        </w:rPr>
      </w:pPr>
      <w:r w:rsidRPr="003D6B6C">
        <w:rPr>
          <w:rFonts w:ascii="Times New Roman" w:hAnsi="Times New Roman"/>
          <w:sz w:val="22"/>
          <w:szCs w:val="22"/>
        </w:rPr>
        <w:t>9.9</w:t>
      </w:r>
    </w:p>
    <w:p w14:paraId="4C08721E" w14:textId="61E61AC9" w:rsidR="00E0396B" w:rsidRPr="003D6B6C" w:rsidRDefault="00C65920" w:rsidP="00466A21">
      <w:pPr>
        <w:tabs>
          <w:tab w:val="left" w:pos="426"/>
        </w:tabs>
        <w:ind w:left="142" w:right="-2"/>
        <w:jc w:val="both"/>
        <w:rPr>
          <w:rFonts w:ascii="Times New Roman" w:hAnsi="Times New Roman"/>
          <w:sz w:val="22"/>
          <w:szCs w:val="22"/>
        </w:rPr>
      </w:pPr>
      <w:r w:rsidRPr="00FA214C">
        <w:rPr>
          <w:rFonts w:ascii="Times New Roman" w:hAnsi="Times New Roman"/>
          <w:sz w:val="22"/>
          <w:szCs w:val="22"/>
        </w:rPr>
        <w:t xml:space="preserve">The minimum obligation towards visibility to be put in place by the contractor are included the HUSRB VI-A 1st </w:t>
      </w:r>
      <w:proofErr w:type="spellStart"/>
      <w:r w:rsidRPr="00FA214C">
        <w:rPr>
          <w:rFonts w:ascii="Times New Roman" w:hAnsi="Times New Roman"/>
          <w:sz w:val="22"/>
          <w:szCs w:val="22"/>
        </w:rPr>
        <w:t>CfP</w:t>
      </w:r>
      <w:proofErr w:type="spellEnd"/>
      <w:r w:rsidRPr="00FA214C">
        <w:rPr>
          <w:rFonts w:ascii="Times New Roman" w:hAnsi="Times New Roman"/>
          <w:sz w:val="22"/>
          <w:szCs w:val="22"/>
        </w:rPr>
        <w:t xml:space="preserve"> Annex IV - Visibility manual_07JUNE2024_update_4, and further 03 </w:t>
      </w:r>
      <w:proofErr w:type="spellStart"/>
      <w:r w:rsidRPr="00FA214C">
        <w:rPr>
          <w:rFonts w:ascii="Times New Roman" w:hAnsi="Times New Roman"/>
          <w:sz w:val="22"/>
          <w:szCs w:val="22"/>
        </w:rPr>
        <w:t>Vidljivost</w:t>
      </w:r>
      <w:proofErr w:type="spellEnd"/>
      <w:r w:rsidRPr="00FA214C">
        <w:rPr>
          <w:rFonts w:ascii="Times New Roman" w:hAnsi="Times New Roman"/>
          <w:sz w:val="22"/>
          <w:szCs w:val="22"/>
        </w:rPr>
        <w:t xml:space="preserve"> i </w:t>
      </w:r>
      <w:proofErr w:type="spellStart"/>
      <w:r w:rsidRPr="00FA214C">
        <w:rPr>
          <w:rFonts w:ascii="Times New Roman" w:hAnsi="Times New Roman"/>
          <w:sz w:val="22"/>
          <w:szCs w:val="22"/>
        </w:rPr>
        <w:t>komunikacije</w:t>
      </w:r>
      <w:proofErr w:type="spellEnd"/>
      <w:r w:rsidRPr="00FA214C">
        <w:rPr>
          <w:rFonts w:ascii="Times New Roman" w:hAnsi="Times New Roman"/>
          <w:sz w:val="22"/>
          <w:szCs w:val="22"/>
        </w:rPr>
        <w:t xml:space="preserve"> NS 27 06 2024_final on the new site: </w:t>
      </w:r>
      <w:hyperlink r:id="rId8" w:history="1">
        <w:r w:rsidRPr="00FA214C">
          <w:rPr>
            <w:rStyle w:val="Hyperlink"/>
            <w:rFonts w:ascii="Times New Roman" w:hAnsi="Times New Roman"/>
            <w:sz w:val="22"/>
            <w:szCs w:val="22"/>
          </w:rPr>
          <w:t>https://hungary-serbia.eu/downloads</w:t>
        </w:r>
      </w:hyperlink>
      <w:r w:rsidRPr="00FA214C">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9"/>
    </w:p>
    <w:p w14:paraId="0B5B901E" w14:textId="6B09750B" w:rsidR="00C65920" w:rsidRDefault="0047783A" w:rsidP="00C65920">
      <w:pPr>
        <w:pStyle w:val="Heading2"/>
        <w:keepNext w:val="0"/>
        <w:numPr>
          <w:ilvl w:val="1"/>
          <w:numId w:val="0"/>
        </w:numPr>
        <w:spacing w:before="0"/>
        <w:ind w:left="1134" w:hanging="708"/>
        <w:jc w:val="both"/>
        <w:rPr>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C65920" w:rsidRPr="00FA214C">
        <w:rPr>
          <w:rFonts w:ascii="Times New Roman" w:hAnsi="Times New Roman"/>
          <w:sz w:val="22"/>
          <w:szCs w:val="22"/>
          <w:lang w:val="en-IE"/>
        </w:rPr>
        <w:t>All goods purchased can originate in any country.</w:t>
      </w:r>
    </w:p>
    <w:p w14:paraId="70AA1DAD" w14:textId="77777777" w:rsidR="00C65920" w:rsidRPr="00C65920" w:rsidRDefault="00C65920" w:rsidP="00C65920">
      <w:pPr>
        <w:rPr>
          <w:lang w:val="en-IE"/>
        </w:rPr>
      </w:pPr>
    </w:p>
    <w:p w14:paraId="08F8112F" w14:textId="306984FE"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FB7FBBC" w14:textId="0709A4A2" w:rsidR="0047783A" w:rsidRPr="003D6B6C" w:rsidRDefault="00F355C1" w:rsidP="00B5440B">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65920">
        <w:rPr>
          <w:rFonts w:ascii="Times New Roman" w:hAnsi="Times New Roman"/>
          <w:sz w:val="22"/>
          <w:szCs w:val="22"/>
        </w:rPr>
        <w:t xml:space="preserve">The amount of the performance guarantee </w:t>
      </w:r>
      <w:r w:rsidR="005B0129" w:rsidRPr="00C65920">
        <w:rPr>
          <w:rFonts w:ascii="Times New Roman" w:hAnsi="Times New Roman"/>
          <w:sz w:val="22"/>
          <w:szCs w:val="22"/>
        </w:rPr>
        <w:t xml:space="preserve">shall </w:t>
      </w:r>
      <w:r w:rsidR="0047783A" w:rsidRPr="00C65920">
        <w:rPr>
          <w:rFonts w:ascii="Times New Roman" w:hAnsi="Times New Roman"/>
          <w:sz w:val="22"/>
          <w:szCs w:val="22"/>
        </w:rPr>
        <w:t xml:space="preserve">be 5 </w:t>
      </w:r>
      <w:r w:rsidR="00D662AA" w:rsidRPr="00C65920">
        <w:rPr>
          <w:rFonts w:ascii="Times New Roman" w:hAnsi="Times New Roman"/>
          <w:sz w:val="22"/>
          <w:szCs w:val="22"/>
        </w:rPr>
        <w:t xml:space="preserve">% </w:t>
      </w:r>
      <w:r w:rsidR="0047783A" w:rsidRPr="00C65920">
        <w:rPr>
          <w:rFonts w:ascii="Times New Roman" w:hAnsi="Times New Roman"/>
          <w:sz w:val="22"/>
          <w:szCs w:val="22"/>
        </w:rPr>
        <w:t xml:space="preserve">of the </w:t>
      </w:r>
      <w:r w:rsidR="001E2362" w:rsidRPr="00C65920">
        <w:rPr>
          <w:rFonts w:ascii="Times New Roman" w:hAnsi="Times New Roman"/>
          <w:sz w:val="22"/>
          <w:szCs w:val="22"/>
        </w:rPr>
        <w:t xml:space="preserve">total </w:t>
      </w:r>
      <w:r w:rsidR="00B2529B" w:rsidRPr="00C65920">
        <w:rPr>
          <w:rFonts w:ascii="Times New Roman" w:hAnsi="Times New Roman"/>
          <w:sz w:val="22"/>
          <w:szCs w:val="22"/>
        </w:rPr>
        <w:t>c</w:t>
      </w:r>
      <w:r w:rsidR="0097513D" w:rsidRPr="00C65920">
        <w:rPr>
          <w:rFonts w:ascii="Times New Roman" w:hAnsi="Times New Roman"/>
          <w:sz w:val="22"/>
          <w:szCs w:val="22"/>
        </w:rPr>
        <w:t>ontract</w:t>
      </w:r>
      <w:r w:rsidR="0047783A" w:rsidRPr="00C65920">
        <w:rPr>
          <w:rFonts w:ascii="Times New Roman" w:hAnsi="Times New Roman"/>
          <w:sz w:val="22"/>
          <w:szCs w:val="22"/>
        </w:rPr>
        <w:t xml:space="preserve"> </w:t>
      </w:r>
      <w:r w:rsidR="001E2362" w:rsidRPr="00C65920">
        <w:rPr>
          <w:rFonts w:ascii="Times New Roman" w:hAnsi="Times New Roman"/>
          <w:sz w:val="22"/>
          <w:szCs w:val="22"/>
        </w:rPr>
        <w:t>price</w:t>
      </w:r>
      <w:r w:rsidR="00637C8F" w:rsidRPr="00C65920">
        <w:rPr>
          <w:rFonts w:ascii="Times New Roman" w:hAnsi="Times New Roman"/>
          <w:sz w:val="22"/>
          <w:szCs w:val="22"/>
        </w:rPr>
        <w:t>,</w:t>
      </w:r>
      <w:r w:rsidR="0047783A" w:rsidRPr="00C65920">
        <w:rPr>
          <w:rFonts w:ascii="Times New Roman" w:hAnsi="Times New Roman"/>
          <w:sz w:val="22"/>
          <w:szCs w:val="22"/>
        </w:rPr>
        <w:t xml:space="preserve"> </w:t>
      </w:r>
      <w:r w:rsidR="00637C8F" w:rsidRPr="00C65920">
        <w:rPr>
          <w:rFonts w:ascii="Times New Roman" w:hAnsi="Times New Roman"/>
          <w:sz w:val="22"/>
          <w:szCs w:val="22"/>
        </w:rPr>
        <w:t xml:space="preserve">including any amounts stipulated in addenda to the </w:t>
      </w:r>
      <w:r w:rsidR="00B2529B" w:rsidRPr="00C65920">
        <w:rPr>
          <w:rFonts w:ascii="Times New Roman" w:hAnsi="Times New Roman"/>
          <w:sz w:val="22"/>
          <w:szCs w:val="22"/>
        </w:rPr>
        <w:t>c</w:t>
      </w:r>
      <w:r w:rsidR="00637C8F" w:rsidRPr="00C65920">
        <w:rPr>
          <w:rFonts w:ascii="Times New Roman" w:hAnsi="Times New Roman"/>
          <w:sz w:val="22"/>
          <w:szCs w:val="22"/>
        </w:rPr>
        <w:t>ontract</w:t>
      </w:r>
      <w:r w:rsidR="0047783A" w:rsidRPr="00C65920">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74BC38C6" w14:textId="4C799460" w:rsidR="00584F28" w:rsidRPr="003D6B6C" w:rsidRDefault="003D6B6C" w:rsidP="00B5440B">
      <w:pPr>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p>
    <w:p w14:paraId="30C505EF" w14:textId="0E54C416" w:rsidR="00F51D3D" w:rsidRPr="00C65920" w:rsidRDefault="00E76535" w:rsidP="00B5440B">
      <w:pPr>
        <w:spacing w:before="0"/>
        <w:ind w:left="1843"/>
        <w:jc w:val="both"/>
        <w:rPr>
          <w:rFonts w:ascii="Times New Roman" w:hAnsi="Times New Roman"/>
          <w:color w:val="222222"/>
          <w:sz w:val="22"/>
          <w:szCs w:val="22"/>
          <w:lang w:val="en"/>
        </w:rPr>
      </w:pPr>
      <w:r w:rsidRPr="00C65920">
        <w:rPr>
          <w:rFonts w:ascii="Times New Roman" w:hAnsi="Times New Roman"/>
          <w:color w:val="222222"/>
          <w:sz w:val="22"/>
          <w:szCs w:val="22"/>
          <w:lang w:val="en"/>
        </w:rPr>
        <w:t xml:space="preserve">In the case of </w:t>
      </w:r>
      <w:r w:rsidR="00D50334">
        <w:rPr>
          <w:rFonts w:ascii="Times New Roman" w:hAnsi="Times New Roman"/>
          <w:color w:val="222222"/>
          <w:sz w:val="22"/>
          <w:szCs w:val="22"/>
          <w:lang w:val="en"/>
        </w:rPr>
        <w:t xml:space="preserve">the </w:t>
      </w:r>
      <w:r w:rsidRPr="00C65920">
        <w:rPr>
          <w:rFonts w:ascii="Times New Roman" w:hAnsi="Times New Roman"/>
          <w:color w:val="222222"/>
          <w:sz w:val="22"/>
          <w:szCs w:val="22"/>
          <w:lang w:val="en"/>
        </w:rPr>
        <w:t>use of Incoterms</w:t>
      </w:r>
      <w:r w:rsidR="00F51D3D" w:rsidRPr="00C65920">
        <w:rPr>
          <w:rFonts w:ascii="Times New Roman" w:hAnsi="Times New Roman"/>
          <w:color w:val="222222"/>
          <w:sz w:val="22"/>
          <w:szCs w:val="22"/>
          <w:lang w:val="en"/>
        </w:rPr>
        <w:t xml:space="preserve">, the </w:t>
      </w:r>
      <w:r w:rsidR="00B2529B" w:rsidRPr="00C65920">
        <w:rPr>
          <w:rFonts w:ascii="Times New Roman" w:hAnsi="Times New Roman"/>
          <w:color w:val="222222"/>
          <w:sz w:val="22"/>
          <w:szCs w:val="22"/>
          <w:lang w:val="en"/>
        </w:rPr>
        <w:t>c</w:t>
      </w:r>
      <w:r w:rsidR="00F51D3D" w:rsidRPr="00C65920">
        <w:rPr>
          <w:rFonts w:ascii="Times New Roman" w:hAnsi="Times New Roman"/>
          <w:color w:val="222222"/>
          <w:sz w:val="22"/>
          <w:szCs w:val="22"/>
          <w:lang w:val="en"/>
        </w:rPr>
        <w:t xml:space="preserve">ontractor </w:t>
      </w:r>
      <w:r w:rsidR="0043157A" w:rsidRPr="00C65920">
        <w:rPr>
          <w:rFonts w:ascii="Times New Roman" w:hAnsi="Times New Roman"/>
          <w:color w:val="222222"/>
          <w:sz w:val="22"/>
          <w:szCs w:val="22"/>
          <w:lang w:val="en"/>
        </w:rPr>
        <w:t xml:space="preserve">shall provide transport insurance </w:t>
      </w:r>
      <w:r w:rsidR="00F51D3D" w:rsidRPr="00C65920">
        <w:rPr>
          <w:rFonts w:ascii="Times New Roman" w:hAnsi="Times New Roman"/>
          <w:color w:val="222222"/>
          <w:sz w:val="22"/>
          <w:szCs w:val="22"/>
          <w:lang w:val="en"/>
        </w:rPr>
        <w:t>to the extent that it assumes transportation</w:t>
      </w:r>
      <w:r w:rsidRPr="00C65920">
        <w:rPr>
          <w:rFonts w:ascii="Times New Roman" w:hAnsi="Times New Roman"/>
          <w:color w:val="222222"/>
          <w:sz w:val="22"/>
          <w:szCs w:val="22"/>
          <w:lang w:val="en"/>
        </w:rPr>
        <w:t xml:space="preserve"> risks</w:t>
      </w:r>
      <w:r w:rsidR="00F51D3D" w:rsidRPr="00C65920">
        <w:rPr>
          <w:rFonts w:ascii="Times New Roman" w:hAnsi="Times New Roman"/>
          <w:color w:val="222222"/>
          <w:sz w:val="22"/>
          <w:szCs w:val="22"/>
          <w:lang w:val="en"/>
        </w:rPr>
        <w:t>. The question of the exte</w:t>
      </w:r>
      <w:r w:rsidRPr="00C65920">
        <w:rPr>
          <w:rFonts w:ascii="Times New Roman" w:hAnsi="Times New Roman"/>
          <w:color w:val="222222"/>
          <w:sz w:val="22"/>
          <w:szCs w:val="22"/>
          <w:lang w:val="en"/>
        </w:rPr>
        <w:t xml:space="preserve">nt of the risks assumed by the </w:t>
      </w:r>
      <w:r w:rsidR="00B2529B" w:rsidRPr="00C65920">
        <w:rPr>
          <w:rFonts w:ascii="Times New Roman" w:hAnsi="Times New Roman"/>
          <w:color w:val="222222"/>
          <w:sz w:val="22"/>
          <w:szCs w:val="22"/>
          <w:lang w:val="en"/>
        </w:rPr>
        <w:t>c</w:t>
      </w:r>
      <w:r w:rsidRPr="00C65920">
        <w:rPr>
          <w:rFonts w:ascii="Times New Roman" w:hAnsi="Times New Roman"/>
          <w:color w:val="222222"/>
          <w:sz w:val="22"/>
          <w:szCs w:val="22"/>
          <w:lang w:val="en"/>
        </w:rPr>
        <w:t>ontractor (</w:t>
      </w:r>
      <w:r w:rsidR="00F51D3D" w:rsidRPr="00C65920">
        <w:rPr>
          <w:rFonts w:ascii="Times New Roman" w:hAnsi="Times New Roman"/>
          <w:color w:val="222222"/>
          <w:sz w:val="22"/>
          <w:szCs w:val="22"/>
          <w:lang w:val="en"/>
        </w:rPr>
        <w:t xml:space="preserve">seller) depends </w:t>
      </w:r>
      <w:proofErr w:type="gramStart"/>
      <w:r w:rsidR="00F51D3D" w:rsidRPr="00C65920">
        <w:rPr>
          <w:rFonts w:ascii="Times New Roman" w:hAnsi="Times New Roman"/>
          <w:color w:val="222222"/>
          <w:sz w:val="22"/>
          <w:szCs w:val="22"/>
          <w:lang w:val="en"/>
        </w:rPr>
        <w:t>in particular on</w:t>
      </w:r>
      <w:proofErr w:type="gramEnd"/>
      <w:r w:rsidR="00F51D3D" w:rsidRPr="00C65920">
        <w:rPr>
          <w:rFonts w:ascii="Times New Roman" w:hAnsi="Times New Roman"/>
          <w:color w:val="222222"/>
          <w:sz w:val="22"/>
          <w:szCs w:val="22"/>
          <w:lang w:val="en"/>
        </w:rPr>
        <w:t xml:space="preserve"> </w:t>
      </w:r>
      <w:r w:rsidRPr="00C65920">
        <w:rPr>
          <w:rFonts w:ascii="Times New Roman" w:hAnsi="Times New Roman"/>
          <w:color w:val="222222"/>
          <w:sz w:val="22"/>
          <w:szCs w:val="22"/>
          <w:lang w:val="en"/>
        </w:rPr>
        <w:t xml:space="preserve">the </w:t>
      </w:r>
      <w:r w:rsidR="00F51D3D" w:rsidRPr="00C65920">
        <w:rPr>
          <w:rFonts w:ascii="Times New Roman" w:hAnsi="Times New Roman"/>
          <w:color w:val="222222"/>
          <w:sz w:val="22"/>
          <w:szCs w:val="22"/>
          <w:lang w:val="en"/>
        </w:rPr>
        <w:t>Incoter</w:t>
      </w:r>
      <w:r w:rsidRPr="00C65920">
        <w:rPr>
          <w:rFonts w:ascii="Times New Roman" w:hAnsi="Times New Roman"/>
          <w:color w:val="222222"/>
          <w:sz w:val="22"/>
          <w:szCs w:val="22"/>
          <w:lang w:val="en"/>
        </w:rPr>
        <w:t>ms used</w:t>
      </w:r>
      <w:r w:rsidR="00F51D3D" w:rsidRPr="00C65920">
        <w:rPr>
          <w:rFonts w:ascii="Times New Roman" w:hAnsi="Times New Roman"/>
          <w:color w:val="222222"/>
          <w:sz w:val="22"/>
          <w:szCs w:val="22"/>
          <w:lang w:val="en"/>
        </w:rPr>
        <w:t>:</w:t>
      </w:r>
    </w:p>
    <w:p w14:paraId="11815F32" w14:textId="77777777" w:rsidR="00E76535" w:rsidRPr="00C65920" w:rsidRDefault="00E76535" w:rsidP="00B5440B">
      <w:pPr>
        <w:pStyle w:val="Default"/>
        <w:numPr>
          <w:ilvl w:val="0"/>
          <w:numId w:val="22"/>
        </w:numPr>
        <w:spacing w:after="120"/>
        <w:ind w:left="2268"/>
        <w:jc w:val="both"/>
        <w:rPr>
          <w:sz w:val="22"/>
          <w:szCs w:val="22"/>
        </w:rPr>
      </w:pPr>
      <w:r w:rsidRPr="00C65920">
        <w:rPr>
          <w:b/>
          <w:i/>
          <w:iCs/>
          <w:sz w:val="22"/>
          <w:szCs w:val="22"/>
        </w:rPr>
        <w:t>DDP - Delivered Duty Paid</w:t>
      </w:r>
      <w:r w:rsidRPr="00C65920">
        <w:rPr>
          <w:i/>
          <w:iCs/>
          <w:sz w:val="22"/>
          <w:szCs w:val="22"/>
        </w:rPr>
        <w:t xml:space="preserve">: </w:t>
      </w:r>
      <w:r w:rsidRPr="00C65920">
        <w:rPr>
          <w:color w:val="222222"/>
          <w:sz w:val="22"/>
          <w:szCs w:val="22"/>
          <w:lang w:val="en"/>
        </w:rPr>
        <w:t>Incoterm which i</w:t>
      </w:r>
      <w:r w:rsidR="0045678B" w:rsidRPr="00C65920">
        <w:rPr>
          <w:color w:val="222222"/>
          <w:sz w:val="22"/>
          <w:szCs w:val="22"/>
          <w:lang w:val="en"/>
        </w:rPr>
        <w:t>mpos</w:t>
      </w:r>
      <w:r w:rsidRPr="00C65920">
        <w:rPr>
          <w:color w:val="222222"/>
          <w:sz w:val="22"/>
          <w:szCs w:val="22"/>
          <w:lang w:val="en"/>
        </w:rPr>
        <w:t xml:space="preserve">es </w:t>
      </w:r>
      <w:r w:rsidR="0045678B" w:rsidRPr="00C65920">
        <w:rPr>
          <w:color w:val="222222"/>
          <w:sz w:val="22"/>
          <w:szCs w:val="22"/>
          <w:lang w:val="en"/>
        </w:rPr>
        <w:t xml:space="preserve">on </w:t>
      </w:r>
      <w:r w:rsidRPr="00C65920">
        <w:rPr>
          <w:color w:val="222222"/>
          <w:sz w:val="22"/>
          <w:szCs w:val="22"/>
          <w:lang w:val="en"/>
        </w:rPr>
        <w:t xml:space="preserve">the </w:t>
      </w:r>
      <w:r w:rsidR="00297C14" w:rsidRPr="00C65920">
        <w:rPr>
          <w:color w:val="222222"/>
          <w:sz w:val="22"/>
          <w:szCs w:val="22"/>
          <w:lang w:val="en"/>
        </w:rPr>
        <w:t>seller maximum obligations vis-</w:t>
      </w:r>
      <w:r w:rsidRPr="00C65920">
        <w:rPr>
          <w:color w:val="222222"/>
          <w:sz w:val="22"/>
          <w:szCs w:val="22"/>
          <w:lang w:val="en"/>
        </w:rPr>
        <w:t xml:space="preserve">à-vis transportation and loss </w:t>
      </w:r>
      <w:r w:rsidR="0045678B" w:rsidRPr="00C65920">
        <w:rPr>
          <w:color w:val="222222"/>
          <w:sz w:val="22"/>
          <w:szCs w:val="22"/>
          <w:lang w:val="en"/>
        </w:rPr>
        <w:t xml:space="preserve">risks </w:t>
      </w:r>
      <w:r w:rsidRPr="00C65920">
        <w:rPr>
          <w:color w:val="222222"/>
          <w:sz w:val="22"/>
          <w:szCs w:val="22"/>
          <w:lang w:val="en"/>
        </w:rPr>
        <w:t>and damage associated with the goods</w:t>
      </w:r>
      <w:r w:rsidR="003439C4" w:rsidRPr="00C65920">
        <w:rPr>
          <w:color w:val="222222"/>
          <w:sz w:val="22"/>
          <w:szCs w:val="22"/>
          <w:lang w:val="en"/>
        </w:rPr>
        <w:t>:</w:t>
      </w:r>
    </w:p>
    <w:p w14:paraId="2B2DAB93" w14:textId="77777777" w:rsidR="00EF6552" w:rsidRPr="003D6B6C" w:rsidRDefault="00B2529B" w:rsidP="009D0375">
      <w:pPr>
        <w:pStyle w:val="Default"/>
        <w:spacing w:after="120"/>
        <w:ind w:left="2268"/>
        <w:jc w:val="both"/>
        <w:rPr>
          <w:color w:val="222222"/>
          <w:sz w:val="22"/>
          <w:szCs w:val="22"/>
          <w:lang w:val="en"/>
        </w:rPr>
      </w:pPr>
      <w:r w:rsidRPr="00C65920">
        <w:rPr>
          <w:i/>
          <w:iCs/>
          <w:sz w:val="22"/>
          <w:szCs w:val="22"/>
        </w:rPr>
        <w:t>‘</w:t>
      </w:r>
      <w:proofErr w:type="gramStart"/>
      <w:r w:rsidR="00E76535" w:rsidRPr="00C65920">
        <w:rPr>
          <w:i/>
          <w:iCs/>
          <w:sz w:val="22"/>
          <w:szCs w:val="22"/>
        </w:rPr>
        <w:t>the</w:t>
      </w:r>
      <w:proofErr w:type="gramEnd"/>
      <w:r w:rsidR="00E76535" w:rsidRPr="00C65920">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65920">
        <w:rPr>
          <w:i/>
          <w:iCs/>
          <w:sz w:val="22"/>
          <w:szCs w:val="22"/>
        </w:rPr>
        <w:t>’</w:t>
      </w:r>
      <w:r w:rsidR="00297C14" w:rsidRPr="00C65920">
        <w:rPr>
          <w:rStyle w:val="FootnoteReference"/>
          <w:i/>
          <w:iCs/>
          <w:sz w:val="22"/>
          <w:szCs w:val="22"/>
        </w:rPr>
        <w:footnoteReference w:id="1"/>
      </w:r>
      <w:r w:rsidR="00EF6552" w:rsidRPr="00C65920">
        <w:rPr>
          <w:i/>
          <w:iCs/>
          <w:sz w:val="22"/>
          <w:szCs w:val="22"/>
        </w:rPr>
        <w:t xml:space="preserve"> </w:t>
      </w:r>
      <w:r w:rsidR="00EF6552" w:rsidRPr="00C65920">
        <w:rPr>
          <w:color w:val="222222"/>
          <w:sz w:val="22"/>
          <w:szCs w:val="22"/>
          <w:lang w:val="en"/>
        </w:rPr>
        <w:t>Th</w:t>
      </w:r>
      <w:r w:rsidR="008E5F59" w:rsidRPr="00C65920">
        <w:rPr>
          <w:color w:val="222222"/>
          <w:sz w:val="22"/>
          <w:szCs w:val="22"/>
          <w:lang w:val="en"/>
        </w:rPr>
        <w:t>e transfer of risks and costs occur</w:t>
      </w:r>
      <w:r w:rsidR="00EF6552" w:rsidRPr="00C65920">
        <w:rPr>
          <w:color w:val="222222"/>
          <w:sz w:val="22"/>
          <w:szCs w:val="22"/>
          <w:lang w:val="en"/>
        </w:rPr>
        <w:t xml:space="preserve">s at the place of unloading </w:t>
      </w:r>
      <w:r w:rsidR="008E5F59" w:rsidRPr="00C65920">
        <w:rPr>
          <w:color w:val="222222"/>
          <w:sz w:val="22"/>
          <w:szCs w:val="22"/>
          <w:lang w:val="en"/>
        </w:rPr>
        <w:t xml:space="preserve">of </w:t>
      </w:r>
      <w:r w:rsidR="00EF6552" w:rsidRPr="00C65920">
        <w:rPr>
          <w:color w:val="222222"/>
          <w:sz w:val="22"/>
          <w:szCs w:val="22"/>
          <w:lang w:val="en"/>
        </w:rPr>
        <w:t xml:space="preserve">the goods at the agreed </w:t>
      </w:r>
      <w:r w:rsidR="008E5F59" w:rsidRPr="00C65920">
        <w:rPr>
          <w:color w:val="222222"/>
          <w:sz w:val="22"/>
          <w:szCs w:val="22"/>
          <w:lang w:val="en"/>
        </w:rPr>
        <w:t xml:space="preserve">place of </w:t>
      </w:r>
      <w:r w:rsidR="00EF6552" w:rsidRPr="00C65920">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705BFD0C" w14:textId="289E5A8C" w:rsidR="00C65920" w:rsidRPr="00FA214C" w:rsidRDefault="00AC1107" w:rsidP="00C65920">
      <w:pPr>
        <w:ind w:left="720"/>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13" w:name="_Toc124934904"/>
      <w:r w:rsidR="00C65920" w:rsidRPr="00FA214C">
        <w:rPr>
          <w:rFonts w:ascii="Times New Roman" w:hAnsi="Times New Roman"/>
          <w:sz w:val="22"/>
          <w:szCs w:val="22"/>
        </w:rPr>
        <w:t xml:space="preserve">The Contractor shall, within </w:t>
      </w:r>
      <w:r w:rsidR="00C65920" w:rsidRPr="00FA214C">
        <w:rPr>
          <w:rFonts w:ascii="Times New Roman" w:hAnsi="Times New Roman"/>
          <w:b/>
          <w:bCs/>
          <w:sz w:val="22"/>
          <w:szCs w:val="22"/>
        </w:rPr>
        <w:t>7 days</w:t>
      </w:r>
      <w:r w:rsidR="00C65920" w:rsidRPr="00FA214C">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1407B9C3" w14:textId="751C02F7" w:rsidR="00C65920" w:rsidRPr="00FA214C" w:rsidRDefault="00C65920" w:rsidP="00C65920">
      <w:pPr>
        <w:ind w:left="720"/>
        <w:jc w:val="both"/>
        <w:rPr>
          <w:rFonts w:ascii="Times New Roman" w:hAnsi="Times New Roman"/>
          <w:sz w:val="22"/>
          <w:szCs w:val="22"/>
        </w:rPr>
      </w:pPr>
      <w:r w:rsidRPr="00FA214C">
        <w:rPr>
          <w:rFonts w:ascii="Times New Roman" w:hAnsi="Times New Roman"/>
          <w:sz w:val="22"/>
          <w:szCs w:val="22"/>
        </w:rPr>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7F1CC91B" w14:textId="00E70B1A" w:rsidR="00C65920" w:rsidRDefault="00C65920" w:rsidP="00C65920">
      <w:pPr>
        <w:ind w:left="1134"/>
        <w:jc w:val="both"/>
        <w:rPr>
          <w:rFonts w:ascii="Times New Roman" w:hAnsi="Times New Roman"/>
          <w:sz w:val="22"/>
          <w:szCs w:val="22"/>
        </w:rPr>
      </w:pPr>
      <w:r w:rsidRPr="00FA214C">
        <w:rPr>
          <w:rFonts w:ascii="Times New Roman" w:hAnsi="Times New Roman"/>
          <w:sz w:val="22"/>
          <w:szCs w:val="22"/>
        </w:rPr>
        <w:t>Delivery of the supplies to the place of acceptance shall be finalised within 5 months from the contract signature by both parties</w:t>
      </w:r>
      <w:r>
        <w:rPr>
          <w:rFonts w:ascii="Times New Roman" w:hAnsi="Times New Roman"/>
          <w:sz w:val="22"/>
          <w:szCs w:val="22"/>
        </w:rPr>
        <w:t>.</w:t>
      </w:r>
    </w:p>
    <w:p w14:paraId="7B22878F" w14:textId="77777777" w:rsidR="00C65920" w:rsidRDefault="00C65920" w:rsidP="00C65920">
      <w:pPr>
        <w:jc w:val="both"/>
        <w:rPr>
          <w:rFonts w:ascii="Times New Roman" w:hAnsi="Times New Roman"/>
          <w:sz w:val="22"/>
          <w:szCs w:val="22"/>
        </w:rPr>
      </w:pPr>
    </w:p>
    <w:p w14:paraId="1A770128" w14:textId="0E5C046D" w:rsidR="0047783A" w:rsidRPr="003D6B6C" w:rsidRDefault="0047783A" w:rsidP="00C65920">
      <w:pPr>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3"/>
    </w:p>
    <w:p w14:paraId="62741992" w14:textId="7223968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14.1</w:t>
      </w:r>
      <w:r w:rsidRPr="003D6B6C">
        <w:rPr>
          <w:rFonts w:ascii="Times New Roman" w:hAnsi="Times New Roman"/>
          <w:sz w:val="22"/>
          <w:szCs w:val="22"/>
        </w:rPr>
        <w:tab/>
      </w:r>
      <w:r w:rsidR="00C65920">
        <w:rPr>
          <w:rFonts w:ascii="Times New Roman" w:hAnsi="Times New Roman"/>
          <w:sz w:val="22"/>
          <w:szCs w:val="22"/>
        </w:rPr>
        <w:t>N/A</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34E7625B" w14:textId="77777777" w:rsidR="00C65920" w:rsidRPr="00FA214C" w:rsidRDefault="005B0129" w:rsidP="00C6592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65920" w:rsidRPr="00FA214C">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the execution of their activities during the operation, and excluding taxes and customs duties.</w:t>
      </w:r>
    </w:p>
    <w:p w14:paraId="2BB4FFAC" w14:textId="77777777" w:rsidR="00C65920" w:rsidRPr="00FA214C" w:rsidRDefault="00C65920" w:rsidP="00C65920">
      <w:pPr>
        <w:ind w:left="1134"/>
        <w:jc w:val="both"/>
        <w:rPr>
          <w:rFonts w:ascii="Times New Roman" w:hAnsi="Times New Roman"/>
          <w:sz w:val="22"/>
          <w:szCs w:val="22"/>
        </w:rPr>
      </w:pPr>
      <w:r w:rsidRPr="00FA214C">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59C12F51"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10F64A1" w14:textId="5F1F3B49" w:rsidR="00C65920" w:rsidRPr="00FA214C" w:rsidRDefault="00C52305" w:rsidP="00C65920">
      <w:pPr>
        <w:ind w:left="1436" w:hanging="1152"/>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65920">
        <w:rPr>
          <w:rFonts w:ascii="Times New Roman" w:hAnsi="Times New Roman"/>
          <w:sz w:val="22"/>
          <w:szCs w:val="22"/>
        </w:rPr>
        <w:tab/>
      </w:r>
      <w:r w:rsidR="00C65920" w:rsidRPr="00FA214C">
        <w:rPr>
          <w:rFonts w:ascii="Times New Roman" w:hAnsi="Times New Roman"/>
          <w:sz w:val="22"/>
          <w:szCs w:val="22"/>
        </w:rPr>
        <w:t>The terms of delivery of the goods shall be DDP (Delivered Duty Paid) – Incoterms 2020, International Chamber of Commerce.</w:t>
      </w:r>
    </w:p>
    <w:p w14:paraId="6AF4FC5B" w14:textId="2694658F"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5"/>
    </w:p>
    <w:p w14:paraId="43D1F54B" w14:textId="4790F95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65920" w:rsidRPr="00FA214C">
        <w:rPr>
          <w:rFonts w:ascii="Times New Roman" w:hAnsi="Times New Roman"/>
          <w:sz w:val="22"/>
          <w:szCs w:val="22"/>
        </w:rPr>
        <w:t xml:space="preserve">No derogation from General </w:t>
      </w:r>
      <w:proofErr w:type="spellStart"/>
      <w:r w:rsidR="00C65920" w:rsidRPr="00FA214C">
        <w:rPr>
          <w:rFonts w:ascii="Times New Roman" w:hAnsi="Times New Roman"/>
          <w:sz w:val="22"/>
          <w:szCs w:val="22"/>
        </w:rPr>
        <w:t>Connditions</w:t>
      </w:r>
      <w:proofErr w:type="spellEnd"/>
      <w:r w:rsidR="00C65920" w:rsidRPr="00FA214C">
        <w:rPr>
          <w:rFonts w:ascii="Times New Roman" w:hAnsi="Times New Roman"/>
          <w:sz w:val="22"/>
          <w:szCs w:val="22"/>
        </w:rPr>
        <w:t xml:space="preserve">. </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0D402D53" w14:textId="77777777" w:rsidR="00C65920" w:rsidRDefault="0047783A" w:rsidP="00C65920">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7" w:name="_Toc124934908"/>
      <w:r w:rsidR="00C65920" w:rsidRPr="00FA214C">
        <w:rPr>
          <w:rFonts w:ascii="Times New Roman" w:hAnsi="Times New Roman"/>
          <w:sz w:val="22"/>
          <w:szCs w:val="22"/>
        </w:rPr>
        <w:t>The implementation of the tasks shall start on the date of contract signature by both parties</w:t>
      </w:r>
    </w:p>
    <w:p w14:paraId="40415148" w14:textId="153AD669" w:rsidR="0047783A" w:rsidRPr="003D6B6C" w:rsidRDefault="0047783A" w:rsidP="00C65920">
      <w:pPr>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0A6E1A28" w14:textId="77777777" w:rsidR="00C65920" w:rsidRDefault="00C65920" w:rsidP="00B5440B">
      <w:pPr>
        <w:spacing w:before="0"/>
        <w:ind w:left="1134" w:hanging="709"/>
        <w:jc w:val="both"/>
        <w:rPr>
          <w:rFonts w:ascii="Times New Roman" w:hAnsi="Times New Roman"/>
          <w:sz w:val="22"/>
          <w:szCs w:val="22"/>
        </w:rPr>
      </w:pPr>
    </w:p>
    <w:p w14:paraId="05A032BE" w14:textId="0489CF70" w:rsidR="00E55D87" w:rsidRPr="003D6B6C" w:rsidRDefault="0047783A" w:rsidP="00162547">
      <w:pPr>
        <w:spacing w:before="0"/>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sidRPr="0043240C">
        <w:rPr>
          <w:rFonts w:ascii="Times New Roman" w:hAnsi="Times New Roman"/>
          <w:sz w:val="22"/>
        </w:rPr>
        <w:t xml:space="preserve">The </w:t>
      </w:r>
      <w:r w:rsidR="00A13EB8" w:rsidRPr="00772E0E">
        <w:rPr>
          <w:rFonts w:ascii="Times New Roman" w:hAnsi="Times New Roman"/>
          <w:b/>
          <w:sz w:val="22"/>
        </w:rPr>
        <w:t>implementation period of tasks</w:t>
      </w:r>
      <w:r w:rsidR="00A13EB8" w:rsidRPr="0043240C">
        <w:rPr>
          <w:rFonts w:ascii="Times New Roman" w:hAnsi="Times New Roman"/>
          <w:sz w:val="22"/>
        </w:rPr>
        <w:t xml:space="preserve"> shall</w:t>
      </w:r>
      <w:r w:rsidR="003933E2">
        <w:rPr>
          <w:rFonts w:ascii="Times New Roman" w:hAnsi="Times New Roman"/>
          <w:sz w:val="22"/>
        </w:rPr>
        <w:t xml:space="preserve"> be </w:t>
      </w:r>
      <w:r w:rsidR="00162547">
        <w:rPr>
          <w:rFonts w:ascii="Times New Roman" w:hAnsi="Times New Roman"/>
          <w:sz w:val="22"/>
        </w:rPr>
        <w:t xml:space="preserve">5 </w:t>
      </w:r>
      <w:proofErr w:type="gramStart"/>
      <w:r w:rsidR="00162547">
        <w:rPr>
          <w:rFonts w:ascii="Times New Roman" w:hAnsi="Times New Roman"/>
          <w:sz w:val="22"/>
        </w:rPr>
        <w:t>months.</w:t>
      </w:r>
      <w:r w:rsidR="00A277E9">
        <w:rPr>
          <w:rFonts w:ascii="Times New Roman" w:hAnsi="Times New Roman"/>
          <w:sz w:val="22"/>
        </w:rPr>
        <w:t>.</w:t>
      </w:r>
      <w:proofErr w:type="gramEnd"/>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8"/>
    </w:p>
    <w:p w14:paraId="0506BF5F" w14:textId="49669B2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162547" w:rsidRPr="00FA214C">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9"/>
    </w:p>
    <w:p w14:paraId="37002220" w14:textId="77777777" w:rsidR="00162547" w:rsidRPr="00FA214C" w:rsidRDefault="005B0129" w:rsidP="00162547">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162547" w:rsidRPr="00FA214C">
        <w:rPr>
          <w:rFonts w:ascii="Times New Roman" w:hAnsi="Times New Roman"/>
          <w:bCs/>
          <w:sz w:val="22"/>
          <w:szCs w:val="22"/>
        </w:rPr>
        <w:t>The supplies and the whole system shall be inspected and tested at the place of acceptance.</w:t>
      </w:r>
    </w:p>
    <w:p w14:paraId="1B29F414" w14:textId="77777777" w:rsidR="00162547" w:rsidRPr="00FA214C" w:rsidRDefault="00162547" w:rsidP="00162547">
      <w:pPr>
        <w:tabs>
          <w:tab w:val="num" w:pos="1440"/>
        </w:tabs>
        <w:ind w:left="1134" w:hanging="567"/>
        <w:jc w:val="both"/>
        <w:rPr>
          <w:rFonts w:ascii="Times New Roman" w:hAnsi="Times New Roman"/>
          <w:sz w:val="22"/>
          <w:szCs w:val="22"/>
        </w:rPr>
      </w:pPr>
      <w:r w:rsidRPr="00FA214C">
        <w:rPr>
          <w:rFonts w:ascii="Times New Roman" w:hAnsi="Times New Roman"/>
          <w:sz w:val="22"/>
          <w:szCs w:val="22"/>
        </w:rPr>
        <w:lastRenderedPageBreak/>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33855D90" w:rsidR="0047783A" w:rsidRPr="003D6B6C" w:rsidRDefault="00162547" w:rsidP="00162547">
      <w:pPr>
        <w:ind w:left="1134" w:hanging="709"/>
        <w:jc w:val="both"/>
        <w:rPr>
          <w:rFonts w:ascii="Times New Roman" w:hAnsi="Times New Roman"/>
          <w:b/>
          <w:sz w:val="22"/>
          <w:szCs w:val="22"/>
        </w:rPr>
      </w:pPr>
      <w:r w:rsidRPr="00FA214C">
        <w:rPr>
          <w:rFonts w:ascii="Times New Roman" w:hAnsi="Times New Roman"/>
          <w:sz w:val="22"/>
          <w:szCs w:val="22"/>
        </w:rPr>
        <w:tab/>
      </w:r>
      <w:r w:rsidRPr="00FA214C">
        <w:rPr>
          <w:rFonts w:ascii="Times New Roman" w:hAnsi="Times New Roman"/>
          <w:bCs/>
          <w:sz w:val="22"/>
          <w:szCs w:val="22"/>
        </w:rPr>
        <w:t>The inspection and testing of all equipment will be started and completed within a maximum 15 calendar days after delivery, installation and putting into service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0"/>
      <w:r w:rsidR="005B0129" w:rsidRPr="003D6B6C">
        <w:rPr>
          <w:rFonts w:ascii="Times New Roman" w:hAnsi="Times New Roman"/>
          <w:b/>
          <w:sz w:val="24"/>
          <w:szCs w:val="24"/>
        </w:rPr>
        <w:t>General principles for payments</w:t>
      </w:r>
    </w:p>
    <w:p w14:paraId="7D9DC2D0" w14:textId="435B5B58" w:rsidR="00162547" w:rsidRPr="00FA214C" w:rsidRDefault="0047783A" w:rsidP="00162547">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162547" w:rsidRPr="00FA214C">
        <w:rPr>
          <w:rFonts w:ascii="Times New Roman" w:hAnsi="Times New Roman"/>
          <w:sz w:val="22"/>
          <w:szCs w:val="22"/>
        </w:rPr>
        <w:t xml:space="preserve">Payments shall be made in RSD (for Serbian candidates)/EUR (for foreign candidates) in accordance with Articles 20.6 and 29.4 of the General Conditions into the bank account notified by the Contractor to the Contracting Authority. In case the contract is concluded in EURO, and payments are made in RSD, </w:t>
      </w:r>
      <w:r w:rsidR="00162547">
        <w:rPr>
          <w:rFonts w:ascii="Times New Roman" w:hAnsi="Times New Roman"/>
          <w:sz w:val="22"/>
          <w:szCs w:val="22"/>
        </w:rPr>
        <w:t xml:space="preserve">the </w:t>
      </w:r>
      <w:r w:rsidR="00162547" w:rsidRPr="00FA214C">
        <w:rPr>
          <w:rFonts w:ascii="Times New Roman" w:hAnsi="Times New Roman"/>
          <w:sz w:val="22"/>
          <w:szCs w:val="22"/>
        </w:rPr>
        <w:t xml:space="preserve">applicable exchange rate must be </w:t>
      </w:r>
      <w:proofErr w:type="spellStart"/>
      <w:r w:rsidR="00162547" w:rsidRPr="00FA214C">
        <w:rPr>
          <w:rFonts w:ascii="Times New Roman" w:hAnsi="Times New Roman"/>
          <w:sz w:val="22"/>
          <w:szCs w:val="22"/>
        </w:rPr>
        <w:t>InforEuro</w:t>
      </w:r>
      <w:proofErr w:type="spellEnd"/>
      <w:r w:rsidR="00162547" w:rsidRPr="00FA214C">
        <w:rPr>
          <w:rFonts w:ascii="Times New Roman" w:hAnsi="Times New Roman"/>
          <w:sz w:val="22"/>
          <w:szCs w:val="22"/>
        </w:rPr>
        <w:t xml:space="preserve"> exchange rate for the month of issuing of pro-forma invoice.</w:t>
      </w:r>
    </w:p>
    <w:p w14:paraId="05D86986" w14:textId="139E90F5" w:rsidR="0047783A" w:rsidRPr="003D6B6C" w:rsidRDefault="00C70E2C" w:rsidP="00B5440B">
      <w:pPr>
        <w:tabs>
          <w:tab w:val="right" w:pos="9885"/>
        </w:tabs>
        <w:spacing w:before="0"/>
        <w:ind w:left="1134"/>
        <w:jc w:val="both"/>
        <w:rPr>
          <w:rFonts w:ascii="Times New Roman" w:hAnsi="Times New Roman"/>
          <w:sz w:val="22"/>
          <w:szCs w:val="22"/>
        </w:rPr>
      </w:pPr>
      <w:r w:rsidRPr="00162547">
        <w:rPr>
          <w:rFonts w:ascii="Times New Roman" w:hAnsi="Times New Roman"/>
          <w:sz w:val="22"/>
          <w:szCs w:val="22"/>
        </w:rPr>
        <w:t>Pre-financing</w:t>
      </w:r>
      <w:r w:rsidR="002E7A27">
        <w:rPr>
          <w:rFonts w:ascii="Times New Roman" w:hAnsi="Times New Roman"/>
          <w:sz w:val="22"/>
          <w:szCs w:val="22"/>
        </w:rPr>
        <w:t xml:space="preserve"> of 15%</w:t>
      </w:r>
      <w:r w:rsidRPr="00162547">
        <w:rPr>
          <w:rFonts w:ascii="Times New Roman" w:hAnsi="Times New Roman"/>
          <w:sz w:val="22"/>
          <w:szCs w:val="22"/>
        </w:rPr>
        <w:t xml:space="preserve"> </w:t>
      </w:r>
      <w:r w:rsidR="002E7A27">
        <w:rPr>
          <w:rFonts w:ascii="Times New Roman" w:hAnsi="Times New Roman"/>
          <w:sz w:val="22"/>
          <w:szCs w:val="22"/>
        </w:rPr>
        <w:t>applies</w:t>
      </w:r>
      <w:r w:rsidRPr="00162547">
        <w:rPr>
          <w:rFonts w:ascii="Times New Roman" w:hAnsi="Times New Roman"/>
          <w:sz w:val="22"/>
          <w:szCs w:val="22"/>
        </w:rPr>
        <w:t xml:space="preserve"> to this contract</w:t>
      </w:r>
      <w:r w:rsidR="00162547">
        <w:rPr>
          <w:rFonts w:ascii="Times New Roman" w:hAnsi="Times New Roman"/>
          <w:sz w:val="22"/>
          <w:szCs w:val="22"/>
        </w:rPr>
        <w:t>.</w:t>
      </w:r>
    </w:p>
    <w:p w14:paraId="1EB748EC" w14:textId="0DB9B4A6" w:rsidR="00162547" w:rsidRDefault="00162547" w:rsidP="00B5440B">
      <w:pPr>
        <w:spacing w:before="0"/>
        <w:ind w:left="1134"/>
        <w:jc w:val="both"/>
        <w:rPr>
          <w:rFonts w:ascii="Times New Roman" w:hAnsi="Times New Roman"/>
          <w:sz w:val="22"/>
          <w:szCs w:val="22"/>
        </w:rPr>
      </w:pPr>
      <w:r w:rsidRPr="00FA214C">
        <w:rPr>
          <w:rFonts w:ascii="Times New Roman" w:hAnsi="Times New Roman"/>
          <w:sz w:val="22"/>
          <w:szCs w:val="22"/>
        </w:rPr>
        <w:t xml:space="preserve">Payments shall be authorised and made by </w:t>
      </w:r>
      <w:r w:rsidRPr="00FA214C">
        <w:rPr>
          <w:bCs/>
          <w:lang w:val="sr-Latn-RS"/>
        </w:rPr>
        <w:t xml:space="preserve">POTISKI VODOVODI -TISZA MENTI VIZMUVEK DOO </w:t>
      </w:r>
      <w:r w:rsidRPr="00FA214C">
        <w:rPr>
          <w:bCs/>
          <w:lang w:val="sr-Cyrl-RS"/>
        </w:rPr>
        <w:t>HORGOŠ</w:t>
      </w:r>
      <w:r w:rsidRPr="00FA214C">
        <w:rPr>
          <w:bCs/>
          <w:lang w:val="sr-Latn-RS"/>
        </w:rPr>
        <w:t>,</w:t>
      </w:r>
      <w:r w:rsidR="00D50334">
        <w:rPr>
          <w:bCs/>
          <w:lang w:val="sr-Latn-RS"/>
        </w:rPr>
        <w:t xml:space="preserve"> </w:t>
      </w:r>
      <w:proofErr w:type="spellStart"/>
      <w:r w:rsidRPr="00FA214C">
        <w:rPr>
          <w:rFonts w:ascii="Times New Roman" w:hAnsi="Times New Roman"/>
          <w:sz w:val="22"/>
        </w:rPr>
        <w:t>Železnička</w:t>
      </w:r>
      <w:proofErr w:type="spellEnd"/>
      <w:r w:rsidRPr="00FA214C">
        <w:rPr>
          <w:rFonts w:ascii="Times New Roman" w:hAnsi="Times New Roman"/>
          <w:sz w:val="22"/>
        </w:rPr>
        <w:t xml:space="preserve"> 22, </w:t>
      </w:r>
      <w:proofErr w:type="spellStart"/>
      <w:r w:rsidRPr="00FA214C">
        <w:rPr>
          <w:rFonts w:ascii="Times New Roman" w:hAnsi="Times New Roman"/>
          <w:sz w:val="22"/>
        </w:rPr>
        <w:t>Horgoš</w:t>
      </w:r>
      <w:proofErr w:type="spellEnd"/>
      <w:r w:rsidRPr="00FA214C">
        <w:rPr>
          <w:rFonts w:ascii="Times New Roman" w:hAnsi="Times New Roman"/>
          <w:sz w:val="22"/>
        </w:rPr>
        <w:t xml:space="preserve"> 24410</w:t>
      </w:r>
      <w:r w:rsidRPr="00FA214C">
        <w:rPr>
          <w:rFonts w:ascii="Times New Roman" w:hAnsi="Times New Roman"/>
          <w:sz w:val="22"/>
          <w:szCs w:val="22"/>
        </w:rPr>
        <w:t>, authorised by Contracting Authority legal representative</w:t>
      </w:r>
    </w:p>
    <w:p w14:paraId="62A04E0B" w14:textId="715979B1" w:rsidR="006D5CEE" w:rsidRPr="003D6B6C" w:rsidRDefault="006D5CEE" w:rsidP="00162547">
      <w:pPr>
        <w:spacing w:before="0"/>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62547">
        <w:rPr>
          <w:rFonts w:ascii="Times New Roman" w:hAnsi="Times New Roman"/>
          <w:sz w:val="22"/>
          <w:szCs w:val="22"/>
        </w:rPr>
        <w:t xml:space="preserve">By derogation, the final payment to the </w:t>
      </w:r>
      <w:r w:rsidR="00F60098" w:rsidRPr="00162547">
        <w:rPr>
          <w:rFonts w:ascii="Times New Roman" w:hAnsi="Times New Roman"/>
          <w:sz w:val="22"/>
          <w:szCs w:val="22"/>
        </w:rPr>
        <w:t>c</w:t>
      </w:r>
      <w:r w:rsidRPr="00162547">
        <w:rPr>
          <w:rFonts w:ascii="Times New Roman" w:hAnsi="Times New Roman"/>
          <w:sz w:val="22"/>
          <w:szCs w:val="22"/>
        </w:rPr>
        <w:t xml:space="preserve">ontractor of the amounts due shall be made within 90 days after receipt by the </w:t>
      </w:r>
      <w:r w:rsidR="00F60098" w:rsidRPr="00162547">
        <w:rPr>
          <w:rFonts w:ascii="Times New Roman" w:hAnsi="Times New Roman"/>
          <w:sz w:val="22"/>
          <w:szCs w:val="22"/>
        </w:rPr>
        <w:t>c</w:t>
      </w:r>
      <w:r w:rsidRPr="00162547">
        <w:rPr>
          <w:rFonts w:ascii="Times New Roman" w:hAnsi="Times New Roman"/>
          <w:sz w:val="22"/>
          <w:szCs w:val="22"/>
        </w:rPr>
        <w:t xml:space="preserve">ontracting </w:t>
      </w:r>
      <w:r w:rsidR="00F60098" w:rsidRPr="00162547">
        <w:rPr>
          <w:rFonts w:ascii="Times New Roman" w:hAnsi="Times New Roman"/>
          <w:sz w:val="22"/>
          <w:szCs w:val="22"/>
        </w:rPr>
        <w:t>a</w:t>
      </w:r>
      <w:r w:rsidRPr="00162547">
        <w:rPr>
          <w:rFonts w:ascii="Times New Roman" w:hAnsi="Times New Roman"/>
          <w:sz w:val="22"/>
          <w:szCs w:val="22"/>
        </w:rPr>
        <w:t>uthority of an invoice and of the application for the certificate of provisional acceptance.</w:t>
      </w:r>
    </w:p>
    <w:p w14:paraId="780AD638" w14:textId="37C5BD5F"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1707D0AC" w14:textId="00EE5F4F" w:rsidR="0047783A" w:rsidRPr="002E7A27" w:rsidRDefault="00035D61" w:rsidP="002E7A27">
      <w:pPr>
        <w:spacing w:before="0" w:after="0"/>
        <w:ind w:left="1985" w:hanging="284"/>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512BE8" w:rsidRPr="00162547">
        <w:rPr>
          <w:rFonts w:ascii="Times New Roman" w:hAnsi="Times New Roman"/>
          <w:bCs/>
          <w:sz w:val="22"/>
          <w:szCs w:val="22"/>
        </w:rPr>
        <w:t>For the 1</w:t>
      </w:r>
      <w:r w:rsidR="002E7A27">
        <w:rPr>
          <w:rFonts w:ascii="Times New Roman" w:hAnsi="Times New Roman"/>
          <w:bCs/>
          <w:sz w:val="22"/>
          <w:szCs w:val="22"/>
        </w:rPr>
        <w:t>5</w:t>
      </w:r>
      <w:r w:rsidR="00512BE8" w:rsidRPr="00162547">
        <w:rPr>
          <w:rFonts w:ascii="Times New Roman" w:hAnsi="Times New Roman"/>
          <w:bCs/>
          <w:sz w:val="22"/>
          <w:szCs w:val="22"/>
        </w:rPr>
        <w:t xml:space="preserve"> % </w:t>
      </w:r>
      <w:r w:rsidR="002E7A27" w:rsidRPr="002E7A27">
        <w:rPr>
          <w:rFonts w:ascii="Times New Roman" w:hAnsi="Times New Roman"/>
          <w:sz w:val="22"/>
          <w:szCs w:val="22"/>
        </w:rPr>
        <w:t>pre-financing</w:t>
      </w:r>
      <w:r w:rsidR="002E7A27" w:rsidRPr="00F017DE">
        <w:rPr>
          <w:rFonts w:ascii="Times New Roman" w:hAnsi="Times New Roman"/>
          <w:sz w:val="22"/>
          <w:szCs w:val="22"/>
        </w:rPr>
        <w:t xml:space="preserve"> </w:t>
      </w:r>
      <w:r w:rsidR="002E7A27" w:rsidRPr="002E7A27">
        <w:rPr>
          <w:rFonts w:ascii="Times New Roman" w:hAnsi="Times New Roman"/>
          <w:sz w:val="22"/>
          <w:szCs w:val="22"/>
        </w:rPr>
        <w:t>the invoice</w:t>
      </w:r>
      <w:r w:rsidR="002E7A27" w:rsidRPr="002E7A27">
        <w:rPr>
          <w:rStyle w:val="FootnoteReference"/>
          <w:rFonts w:ascii="Times New Roman" w:hAnsi="Times New Roman"/>
          <w:bCs/>
          <w:sz w:val="22"/>
          <w:szCs w:val="22"/>
        </w:rPr>
        <w:footnoteReference w:id="2"/>
      </w:r>
      <w:r w:rsidR="002E7A27">
        <w:rPr>
          <w:rFonts w:ascii="Times New Roman" w:hAnsi="Times New Roman"/>
          <w:sz w:val="22"/>
          <w:szCs w:val="22"/>
        </w:rPr>
        <w:t xml:space="preserve"> </w:t>
      </w:r>
      <w:r w:rsidR="002E7A27" w:rsidRPr="002E7A27">
        <w:rPr>
          <w:rFonts w:ascii="Times New Roman" w:hAnsi="Times New Roman"/>
          <w:sz w:val="22"/>
          <w:szCs w:val="22"/>
        </w:rPr>
        <w:t>and</w:t>
      </w:r>
      <w:r w:rsidR="002E7A27">
        <w:rPr>
          <w:rFonts w:ascii="Times New Roman" w:hAnsi="Times New Roman"/>
          <w:sz w:val="22"/>
          <w:szCs w:val="22"/>
        </w:rPr>
        <w:t xml:space="preserve"> </w:t>
      </w:r>
      <w:r w:rsidR="002E7A27" w:rsidRPr="002E7A27">
        <w:rPr>
          <w:rFonts w:ascii="Times New Roman" w:hAnsi="Times New Roman"/>
          <w:sz w:val="22"/>
          <w:szCs w:val="22"/>
        </w:rPr>
        <w:t>the pre-financing guarantee</w:t>
      </w:r>
      <w:r w:rsidR="002E7A27" w:rsidRPr="002E7A27">
        <w:rPr>
          <w:rFonts w:ascii="Times New Roman" w:hAnsi="Times New Roman"/>
          <w:sz w:val="22"/>
          <w:szCs w:val="22"/>
        </w:rPr>
        <w:t xml:space="preserve"> </w:t>
      </w:r>
      <w:r w:rsidR="002E7A27" w:rsidRPr="002E7A27">
        <w:rPr>
          <w:rFonts w:ascii="Times New Roman" w:hAnsi="Times New Roman"/>
          <w:sz w:val="22"/>
          <w:szCs w:val="22"/>
        </w:rPr>
        <w:t>if the total contract price is above EUR 60 000 and when the pre-financing requested is below EUR 300 000:</w:t>
      </w:r>
      <w:r w:rsidR="002E7A27" w:rsidRPr="002E7A27">
        <w:rPr>
          <w:rFonts w:ascii="Times New Roman" w:hAnsi="Times New Roman"/>
          <w:sz w:val="22"/>
          <w:szCs w:val="22"/>
        </w:rPr>
        <w:t xml:space="preserve"> </w:t>
      </w:r>
      <w:r w:rsidR="002E7A27" w:rsidRPr="002E7A27">
        <w:rPr>
          <w:rFonts w:ascii="Times New Roman" w:hAnsi="Times New Roman"/>
          <w:sz w:val="22"/>
          <w:szCs w:val="22"/>
        </w:rPr>
        <w:t>by derogation from article 26.5 of the general conditions, no pre-financing guarantee is required</w:t>
      </w:r>
      <w:r w:rsidR="002E7A27" w:rsidRPr="002E7A27" w:rsidDel="00795949">
        <w:rPr>
          <w:rFonts w:ascii="Times New Roman" w:hAnsi="Times New Roman"/>
          <w:sz w:val="22"/>
          <w:szCs w:val="22"/>
        </w:rPr>
        <w:t xml:space="preserve"> </w:t>
      </w:r>
      <w:r w:rsidR="002E7A27" w:rsidRPr="002E7A27">
        <w:rPr>
          <w:rStyle w:val="FootnoteReference"/>
          <w:rFonts w:ascii="Times New Roman" w:hAnsi="Times New Roman"/>
          <w:bCs/>
          <w:sz w:val="22"/>
          <w:szCs w:val="22"/>
        </w:rPr>
        <w:footnoteReference w:id="3"/>
      </w:r>
      <w:r w:rsidR="002E7A27" w:rsidRPr="002E7A27">
        <w:rPr>
          <w:rFonts w:ascii="Times New Roman" w:hAnsi="Times New Roman"/>
          <w:bCs/>
          <w:sz w:val="22"/>
          <w:szCs w:val="22"/>
        </w:rPr>
        <w:t>.</w:t>
      </w:r>
    </w:p>
    <w:p w14:paraId="01CE916B" w14:textId="1E6AE640" w:rsidR="002E7A27" w:rsidRPr="003D6B6C" w:rsidRDefault="002E7A27" w:rsidP="00162547">
      <w:pPr>
        <w:ind w:left="1560" w:hanging="426"/>
        <w:jc w:val="both"/>
        <w:rPr>
          <w:rFonts w:ascii="Times New Roman" w:hAnsi="Times New Roman"/>
          <w:sz w:val="22"/>
          <w:szCs w:val="22"/>
        </w:rPr>
      </w:pPr>
      <w:r>
        <w:rPr>
          <w:rFonts w:ascii="Times New Roman" w:hAnsi="Times New Roman"/>
          <w:sz w:val="22"/>
          <w:szCs w:val="22"/>
        </w:rPr>
        <w:t xml:space="preserve">b)   For the 85% </w:t>
      </w:r>
      <w:r w:rsidRPr="00162547">
        <w:rPr>
          <w:rFonts w:ascii="Times New Roman" w:hAnsi="Times New Roman"/>
          <w:bCs/>
          <w:sz w:val="22"/>
          <w:szCs w:val="22"/>
        </w:rPr>
        <w:t>100 % balance,</w:t>
      </w:r>
      <w:r w:rsidRPr="00162547">
        <w:rPr>
          <w:rFonts w:ascii="Times New Roman" w:hAnsi="Times New Roman"/>
          <w:sz w:val="22"/>
          <w:szCs w:val="22"/>
        </w:rPr>
        <w:t xml:space="preserve"> the invoice(s) [in triplicate] together with the request for provisional acceptance of the supplies</w:t>
      </w:r>
      <w:r w:rsidRPr="003D6B6C">
        <w:rPr>
          <w:rFonts w:ascii="Times New Roman" w:hAnsi="Times New Roman"/>
          <w:sz w:val="22"/>
          <w:szCs w:val="22"/>
        </w:rPr>
        <w:t>.</w:t>
      </w:r>
    </w:p>
    <w:p w14:paraId="21DD1760" w14:textId="0379458F" w:rsidR="0047783A" w:rsidRDefault="0047783A" w:rsidP="006B145B">
      <w:pPr>
        <w:tabs>
          <w:tab w:val="right" w:pos="9885"/>
        </w:tabs>
        <w:ind w:left="1134" w:hanging="709"/>
        <w:jc w:val="both"/>
        <w:rPr>
          <w:rFonts w:ascii="Times New Roman" w:hAnsi="Times New Roman"/>
          <w:color w:val="000000"/>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162547" w:rsidRPr="00FA214C">
        <w:rPr>
          <w:rFonts w:ascii="Times New Roman" w:hAnsi="Times New Roman"/>
          <w:color w:val="000000"/>
          <w:sz w:val="22"/>
          <w:szCs w:val="22"/>
        </w:rPr>
        <w:t>This Contract does not include a price revision clause.</w:t>
      </w:r>
    </w:p>
    <w:p w14:paraId="60E2B580" w14:textId="4A8D0557"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26.10</w:t>
      </w:r>
      <w:r>
        <w:rPr>
          <w:rFonts w:ascii="Times New Roman" w:hAnsi="Times New Roman"/>
          <w:color w:val="000000"/>
          <w:sz w:val="22"/>
          <w:szCs w:val="22"/>
        </w:rPr>
        <w:tab/>
      </w:r>
      <w:bookmarkStart w:id="22" w:name="_Hlk169016590"/>
      <w:r w:rsidRPr="00D50334">
        <w:rPr>
          <w:rFonts w:ascii="Times New Roman" w:hAnsi="Times New Roman"/>
          <w:bCs/>
          <w:color w:val="000000"/>
          <w:sz w:val="22"/>
          <w:szCs w:val="22"/>
        </w:rPr>
        <w:t xml:space="preserve">Any payment may be offset against </w:t>
      </w:r>
      <w:r w:rsidR="00D50334">
        <w:rPr>
          <w:rFonts w:ascii="Times New Roman" w:hAnsi="Times New Roman"/>
          <w:bCs/>
          <w:color w:val="000000"/>
          <w:sz w:val="22"/>
          <w:szCs w:val="22"/>
        </w:rPr>
        <w:t xml:space="preserve">the </w:t>
      </w:r>
      <w:r w:rsidRPr="00D50334">
        <w:rPr>
          <w:rFonts w:ascii="Times New Roman" w:hAnsi="Times New Roman"/>
          <w:bCs/>
          <w:color w:val="000000"/>
          <w:sz w:val="22"/>
          <w:szCs w:val="22"/>
        </w:rPr>
        <w:t>outstanding debts of any consortium member.</w:t>
      </w:r>
      <w:bookmarkEnd w:id="22"/>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00E8B5F" w:rsidR="0047783A" w:rsidRPr="003D6B6C" w:rsidRDefault="0047783A" w:rsidP="00162547">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162547">
        <w:rPr>
          <w:rFonts w:ascii="Times New Roman" w:hAnsi="Times New Roman"/>
          <w:snapToGrid/>
          <w:sz w:val="22"/>
          <w:szCs w:val="22"/>
          <w:lang w:eastAsia="en-GB"/>
        </w:rPr>
        <w:t xml:space="preserve">By derogation from Article 28.2 of the </w:t>
      </w:r>
      <w:r w:rsidR="00F60098" w:rsidRPr="00162547">
        <w:rPr>
          <w:rFonts w:ascii="Times New Roman" w:hAnsi="Times New Roman"/>
          <w:snapToGrid/>
          <w:sz w:val="22"/>
          <w:szCs w:val="22"/>
          <w:lang w:eastAsia="en-GB"/>
        </w:rPr>
        <w:t>g</w:t>
      </w:r>
      <w:r w:rsidRPr="00162547">
        <w:rPr>
          <w:rFonts w:ascii="Times New Roman" w:hAnsi="Times New Roman"/>
          <w:snapToGrid/>
          <w:sz w:val="22"/>
          <w:szCs w:val="22"/>
          <w:lang w:eastAsia="en-GB"/>
        </w:rPr>
        <w:t xml:space="preserve">eneral </w:t>
      </w:r>
      <w:r w:rsidR="00F60098" w:rsidRPr="00162547">
        <w:rPr>
          <w:rFonts w:ascii="Times New Roman" w:hAnsi="Times New Roman"/>
          <w:snapToGrid/>
          <w:sz w:val="22"/>
          <w:szCs w:val="22"/>
          <w:lang w:eastAsia="en-GB"/>
        </w:rPr>
        <w:t>c</w:t>
      </w:r>
      <w:r w:rsidRPr="00162547">
        <w:rPr>
          <w:rFonts w:ascii="Times New Roman" w:hAnsi="Times New Roman"/>
          <w:snapToGrid/>
          <w:sz w:val="22"/>
          <w:szCs w:val="22"/>
          <w:lang w:eastAsia="en-GB"/>
        </w:rPr>
        <w:t>onditions, o</w:t>
      </w:r>
      <w:r w:rsidRPr="00162547">
        <w:rPr>
          <w:rFonts w:ascii="Times New Roman" w:hAnsi="Times New Roman"/>
          <w:sz w:val="22"/>
          <w:szCs w:val="22"/>
        </w:rPr>
        <w:t>nce the deadline laid down in Article 2</w:t>
      </w:r>
      <w:r w:rsidR="00D83918" w:rsidRPr="00162547">
        <w:rPr>
          <w:rFonts w:ascii="Times New Roman" w:hAnsi="Times New Roman"/>
          <w:sz w:val="22"/>
          <w:szCs w:val="22"/>
        </w:rPr>
        <w:t>6.3</w:t>
      </w:r>
      <w:r w:rsidRPr="00162547">
        <w:rPr>
          <w:rFonts w:ascii="Times New Roman" w:hAnsi="Times New Roman"/>
          <w:sz w:val="22"/>
          <w:szCs w:val="22"/>
        </w:rPr>
        <w:t xml:space="preserve"> has expired, the </w:t>
      </w:r>
      <w:r w:rsidR="00F60098" w:rsidRPr="00162547">
        <w:rPr>
          <w:rFonts w:ascii="Times New Roman" w:hAnsi="Times New Roman"/>
          <w:sz w:val="22"/>
          <w:szCs w:val="22"/>
        </w:rPr>
        <w:t>c</w:t>
      </w:r>
      <w:r w:rsidRPr="00162547">
        <w:rPr>
          <w:rFonts w:ascii="Times New Roman" w:hAnsi="Times New Roman"/>
          <w:sz w:val="22"/>
          <w:szCs w:val="22"/>
        </w:rPr>
        <w:t xml:space="preserve">ontractor </w:t>
      </w:r>
      <w:r w:rsidR="00551543" w:rsidRPr="00162547">
        <w:rPr>
          <w:rFonts w:ascii="Times New Roman" w:hAnsi="Times New Roman"/>
          <w:sz w:val="22"/>
          <w:szCs w:val="22"/>
        </w:rPr>
        <w:t>sha</w:t>
      </w:r>
      <w:r w:rsidR="006D3BA1" w:rsidRPr="00162547">
        <w:rPr>
          <w:rFonts w:ascii="Times New Roman" w:hAnsi="Times New Roman"/>
          <w:sz w:val="22"/>
          <w:szCs w:val="22"/>
        </w:rPr>
        <w:t>ll,</w:t>
      </w:r>
      <w:r w:rsidRPr="00162547">
        <w:rPr>
          <w:rFonts w:ascii="Times New Roman" w:hAnsi="Times New Roman"/>
          <w:sz w:val="22"/>
          <w:szCs w:val="22"/>
        </w:rPr>
        <w:t xml:space="preserve"> upon demand, </w:t>
      </w:r>
      <w:r w:rsidR="006D3BA1" w:rsidRPr="00162547">
        <w:rPr>
          <w:rFonts w:ascii="Times New Roman" w:hAnsi="Times New Roman"/>
          <w:sz w:val="22"/>
          <w:szCs w:val="22"/>
        </w:rPr>
        <w:t xml:space="preserve">be entitled to late-payment interest </w:t>
      </w:r>
      <w:r w:rsidR="00117ADA" w:rsidRPr="00162547">
        <w:rPr>
          <w:rFonts w:ascii="Times New Roman" w:hAnsi="Times New Roman"/>
          <w:sz w:val="22"/>
          <w:szCs w:val="22"/>
        </w:rPr>
        <w:t xml:space="preserve">at the rate and for the period mentioned in the </w:t>
      </w:r>
      <w:r w:rsidR="00F60098" w:rsidRPr="00162547">
        <w:rPr>
          <w:rFonts w:ascii="Times New Roman" w:hAnsi="Times New Roman"/>
          <w:sz w:val="22"/>
          <w:szCs w:val="22"/>
        </w:rPr>
        <w:t>g</w:t>
      </w:r>
      <w:r w:rsidR="00117ADA" w:rsidRPr="00162547">
        <w:rPr>
          <w:rFonts w:ascii="Times New Roman" w:hAnsi="Times New Roman"/>
          <w:sz w:val="22"/>
          <w:szCs w:val="22"/>
        </w:rPr>
        <w:t xml:space="preserve">eneral </w:t>
      </w:r>
      <w:r w:rsidR="00F60098" w:rsidRPr="00162547">
        <w:rPr>
          <w:rFonts w:ascii="Times New Roman" w:hAnsi="Times New Roman"/>
          <w:sz w:val="22"/>
          <w:szCs w:val="22"/>
        </w:rPr>
        <w:t>c</w:t>
      </w:r>
      <w:r w:rsidR="00117ADA" w:rsidRPr="00162547">
        <w:rPr>
          <w:rFonts w:ascii="Times New Roman" w:hAnsi="Times New Roman"/>
          <w:sz w:val="22"/>
          <w:szCs w:val="22"/>
        </w:rPr>
        <w:t>onditions</w:t>
      </w:r>
      <w:r w:rsidR="006D3BA1" w:rsidRPr="00162547">
        <w:rPr>
          <w:rFonts w:ascii="Times New Roman" w:hAnsi="Times New Roman"/>
          <w:sz w:val="22"/>
          <w:szCs w:val="22"/>
        </w:rPr>
        <w:t xml:space="preserve">. The demand must be </w:t>
      </w:r>
      <w:r w:rsidRPr="00162547">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23"/>
    </w:p>
    <w:p w14:paraId="2C5926D3" w14:textId="4437EA03"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applicable </w:t>
      </w:r>
      <w:r w:rsidRPr="00162547">
        <w:rPr>
          <w:rFonts w:ascii="Times New Roman" w:hAnsi="Times New Roman"/>
          <w:sz w:val="22"/>
          <w:szCs w:val="22"/>
        </w:rPr>
        <w:t>shall be DDP</w:t>
      </w:r>
      <w:r w:rsidRPr="00162547">
        <w:rPr>
          <w:rFonts w:ascii="Times New Roman" w:hAnsi="Times New Roman"/>
          <w:sz w:val="22"/>
          <w:vertAlign w:val="superscript"/>
        </w:rPr>
        <w:footnoteReference w:id="4"/>
      </w:r>
    </w:p>
    <w:p w14:paraId="37672206" w14:textId="19608246" w:rsidR="0047783A" w:rsidRDefault="0047783A" w:rsidP="00162547">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162547">
        <w:rPr>
          <w:rFonts w:ascii="Times New Roman" w:hAnsi="Times New Roman"/>
          <w:sz w:val="22"/>
          <w:szCs w:val="22"/>
        </w:rPr>
        <w:t xml:space="preserve">The packaging </w:t>
      </w:r>
      <w:r w:rsidR="00551543" w:rsidRPr="00162547">
        <w:rPr>
          <w:rFonts w:ascii="Times New Roman" w:hAnsi="Times New Roman"/>
          <w:sz w:val="22"/>
          <w:szCs w:val="22"/>
        </w:rPr>
        <w:t>sha</w:t>
      </w:r>
      <w:r w:rsidR="008C4E79" w:rsidRPr="00162547">
        <w:rPr>
          <w:rFonts w:ascii="Times New Roman" w:hAnsi="Times New Roman"/>
          <w:sz w:val="22"/>
          <w:szCs w:val="22"/>
        </w:rPr>
        <w:t>ll</w:t>
      </w:r>
      <w:r w:rsidRPr="00162547">
        <w:rPr>
          <w:rFonts w:ascii="Times New Roman" w:hAnsi="Times New Roman"/>
          <w:sz w:val="22"/>
          <w:szCs w:val="22"/>
        </w:rPr>
        <w:t xml:space="preserve"> remain the property of the </w:t>
      </w:r>
      <w:r w:rsidR="00F60098" w:rsidRPr="00162547">
        <w:rPr>
          <w:rFonts w:ascii="Times New Roman" w:hAnsi="Times New Roman"/>
          <w:sz w:val="22"/>
          <w:szCs w:val="22"/>
        </w:rPr>
        <w:t>c</w:t>
      </w:r>
      <w:r w:rsidRPr="00162547">
        <w:rPr>
          <w:rFonts w:ascii="Times New Roman" w:hAnsi="Times New Roman"/>
          <w:sz w:val="22"/>
          <w:szCs w:val="22"/>
        </w:rPr>
        <w:t>ontractor subject to environment</w:t>
      </w:r>
      <w:r w:rsidR="006D3BA1" w:rsidRPr="00162547">
        <w:rPr>
          <w:rFonts w:ascii="Times New Roman" w:hAnsi="Times New Roman"/>
          <w:sz w:val="22"/>
          <w:szCs w:val="22"/>
        </w:rPr>
        <w:t>al considerations</w:t>
      </w:r>
    </w:p>
    <w:p w14:paraId="64F05594" w14:textId="1336B64B" w:rsidR="00BD1517" w:rsidRPr="003D6B6C" w:rsidRDefault="00BD1517" w:rsidP="00B5440B">
      <w:pPr>
        <w:ind w:left="1134"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proofErr w:type="spellStart"/>
      <w:r w:rsidR="00162547">
        <w:rPr>
          <w:rFonts w:ascii="Times New Roman" w:hAnsi="Times New Roman"/>
          <w:sz w:val="22"/>
        </w:rPr>
        <w:t>Horogoš</w:t>
      </w:r>
      <w:proofErr w:type="spellEnd"/>
      <w:r w:rsidR="00162547">
        <w:rPr>
          <w:rFonts w:ascii="Times New Roman" w:hAnsi="Times New Roman"/>
          <w:sz w:val="22"/>
        </w:rPr>
        <w:t xml:space="preserve">. </w:t>
      </w:r>
      <w:proofErr w:type="spellStart"/>
      <w:r w:rsidR="00162547">
        <w:rPr>
          <w:rFonts w:ascii="Times New Roman" w:hAnsi="Times New Roman"/>
          <w:sz w:val="22"/>
        </w:rPr>
        <w:t>Železnička</w:t>
      </w:r>
      <w:proofErr w:type="spellEnd"/>
      <w:r w:rsidR="00162547">
        <w:rPr>
          <w:rFonts w:ascii="Times New Roman" w:hAnsi="Times New Roman"/>
          <w:sz w:val="22"/>
        </w:rPr>
        <w:t xml:space="preserve"> 22</w:t>
      </w:r>
      <w:r>
        <w:rPr>
          <w:rFonts w:ascii="Times New Roman" w:hAnsi="Times New Roman"/>
          <w:sz w:val="22"/>
        </w:rPr>
        <w:t>.</w:t>
      </w:r>
    </w:p>
    <w:p w14:paraId="0A911D52" w14:textId="180620E0" w:rsidR="0047783A"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Pr="00D50334">
        <w:rPr>
          <w:rFonts w:ascii="Times New Roman" w:hAnsi="Times New Roman"/>
          <w:sz w:val="22"/>
          <w:szCs w:val="22"/>
        </w:rPr>
        <w:t>Set out requirements as regards documents to accompany each delivery and markings on the packaging</w:t>
      </w:r>
      <w:r w:rsidR="00162547" w:rsidRPr="00D50334">
        <w:rPr>
          <w:rFonts w:ascii="Times New Roman" w:hAnsi="Times New Roman"/>
          <w:sz w:val="22"/>
          <w:szCs w:val="22"/>
        </w:rPr>
        <w:t>:</w:t>
      </w:r>
    </w:p>
    <w:p w14:paraId="71605BC5" w14:textId="77777777" w:rsidR="00162547" w:rsidRPr="00FA214C" w:rsidRDefault="00162547" w:rsidP="00162547">
      <w:pPr>
        <w:numPr>
          <w:ilvl w:val="0"/>
          <w:numId w:val="27"/>
        </w:numPr>
        <w:spacing w:after="0"/>
        <w:rPr>
          <w:rFonts w:ascii="Times New Roman" w:hAnsi="Times New Roman"/>
          <w:sz w:val="22"/>
        </w:rPr>
      </w:pPr>
      <w:r w:rsidRPr="00FA214C">
        <w:rPr>
          <w:rFonts w:ascii="Times New Roman" w:hAnsi="Times New Roman"/>
          <w:sz w:val="22"/>
        </w:rPr>
        <w:t>User/Maintenance Manuals</w:t>
      </w:r>
    </w:p>
    <w:p w14:paraId="18AD91B3" w14:textId="77777777" w:rsidR="00162547" w:rsidRPr="00FA214C" w:rsidRDefault="00162547" w:rsidP="00162547">
      <w:pPr>
        <w:numPr>
          <w:ilvl w:val="0"/>
          <w:numId w:val="27"/>
        </w:numPr>
        <w:rPr>
          <w:rFonts w:ascii="Times New Roman" w:hAnsi="Times New Roman"/>
          <w:sz w:val="22"/>
        </w:rPr>
      </w:pPr>
      <w:r w:rsidRPr="00FA214C">
        <w:rPr>
          <w:rFonts w:ascii="Times New Roman" w:hAnsi="Times New Roman"/>
          <w:sz w:val="22"/>
        </w:rPr>
        <w:t>Packing list</w:t>
      </w:r>
    </w:p>
    <w:p w14:paraId="55BB40B1" w14:textId="77777777" w:rsidR="00162547" w:rsidRPr="00162547" w:rsidRDefault="00162547" w:rsidP="00162547">
      <w:pPr>
        <w:numPr>
          <w:ilvl w:val="0"/>
          <w:numId w:val="27"/>
        </w:numPr>
        <w:rPr>
          <w:rFonts w:ascii="Times New Roman" w:hAnsi="Times New Roman"/>
          <w:sz w:val="22"/>
        </w:rPr>
      </w:pPr>
      <w:r w:rsidRPr="00162547">
        <w:rPr>
          <w:rFonts w:ascii="Times New Roman" w:hAnsi="Times New Roman"/>
          <w:sz w:val="22"/>
        </w:rPr>
        <w:t>Warranty Certificate</w:t>
      </w:r>
    </w:p>
    <w:p w14:paraId="0BAD96C7" w14:textId="77777777" w:rsidR="00162547" w:rsidRPr="00FA214C" w:rsidRDefault="00162547" w:rsidP="00162547">
      <w:pPr>
        <w:numPr>
          <w:ilvl w:val="0"/>
          <w:numId w:val="27"/>
        </w:numPr>
        <w:spacing w:after="100" w:afterAutospacing="1"/>
        <w:jc w:val="both"/>
        <w:rPr>
          <w:rFonts w:ascii="Times New Roman" w:hAnsi="Times New Roman"/>
          <w:sz w:val="22"/>
          <w:szCs w:val="22"/>
        </w:rPr>
      </w:pPr>
      <w:r>
        <w:rPr>
          <w:rFonts w:ascii="Times New Roman" w:hAnsi="Times New Roman"/>
          <w:sz w:val="22"/>
          <w:szCs w:val="22"/>
        </w:rPr>
        <w:t>A statement drawn up by the Contractor must attest that the delivered goods are new, in working order,</w:t>
      </w:r>
      <w:r w:rsidRPr="00FA214C">
        <w:rPr>
          <w:rFonts w:ascii="Times New Roman" w:hAnsi="Times New Roman"/>
          <w:sz w:val="22"/>
          <w:szCs w:val="22"/>
        </w:rPr>
        <w:t xml:space="preserve"> and compliant with all technical specifications of the Tender dossier. This statement must use the following wording:</w:t>
      </w:r>
    </w:p>
    <w:p w14:paraId="1D7E06EB" w14:textId="77777777" w:rsidR="00162547" w:rsidRPr="00FA214C" w:rsidRDefault="00162547" w:rsidP="00162547">
      <w:pPr>
        <w:spacing w:before="0" w:after="100" w:afterAutospacing="1"/>
        <w:ind w:left="2160"/>
        <w:jc w:val="both"/>
        <w:rPr>
          <w:rFonts w:ascii="Times New Roman" w:hAnsi="Times New Roman"/>
          <w:sz w:val="22"/>
          <w:szCs w:val="22"/>
        </w:rPr>
      </w:pPr>
      <w:r w:rsidRPr="00FA214C">
        <w:rPr>
          <w:rFonts w:ascii="Times New Roman" w:hAnsi="Times New Roman"/>
          <w:sz w:val="22"/>
          <w:szCs w:val="22"/>
        </w:rPr>
        <w:t>&lt;Full official name of Contractor&gt; attests that the delivered goods are new, in working order and compliant with all technical specifications of the Tender dossier.”</w:t>
      </w:r>
    </w:p>
    <w:p w14:paraId="06DC28CF" w14:textId="77777777" w:rsidR="00162547" w:rsidRPr="00FA214C" w:rsidRDefault="00162547" w:rsidP="00162547">
      <w:pPr>
        <w:numPr>
          <w:ilvl w:val="0"/>
          <w:numId w:val="27"/>
        </w:numPr>
        <w:spacing w:before="0" w:after="100" w:afterAutospacing="1"/>
        <w:jc w:val="both"/>
        <w:rPr>
          <w:rFonts w:ascii="Times New Roman" w:hAnsi="Times New Roman"/>
          <w:sz w:val="22"/>
          <w:szCs w:val="22"/>
        </w:rPr>
      </w:pPr>
      <w:r w:rsidRPr="00FA214C">
        <w:rPr>
          <w:rFonts w:ascii="Times New Roman" w:hAnsi="Times New Roman"/>
          <w:snapToGrid/>
          <w:sz w:val="22"/>
          <w:szCs w:val="22"/>
          <w:lang w:val="en-US"/>
        </w:rPr>
        <w:t xml:space="preserve">Certificate of the Road Traffic Safety Agency on vehicles </w:t>
      </w:r>
      <w:proofErr w:type="gramStart"/>
      <w:r w:rsidRPr="00FA214C">
        <w:rPr>
          <w:rFonts w:ascii="Times New Roman" w:hAnsi="Times New Roman"/>
          <w:snapToGrid/>
          <w:sz w:val="22"/>
          <w:szCs w:val="22"/>
          <w:lang w:val="en-US"/>
        </w:rPr>
        <w:t>testing,</w:t>
      </w:r>
      <w:proofErr w:type="gramEnd"/>
      <w:r w:rsidRPr="00FA214C">
        <w:rPr>
          <w:rFonts w:ascii="Times New Roman" w:hAnsi="Times New Roman"/>
          <w:snapToGrid/>
          <w:sz w:val="22"/>
          <w:szCs w:val="22"/>
          <w:lang w:val="en-US"/>
        </w:rPr>
        <w:t xml:space="preserve"> Registration certificate for motor vehicles necessary for the registration of a vehicle.</w:t>
      </w:r>
      <w:r w:rsidRPr="00FA214C">
        <w:rPr>
          <w:rFonts w:ascii="Times New Roman" w:hAnsi="Times New Roman"/>
          <w:sz w:val="22"/>
          <w:szCs w:val="22"/>
        </w:rPr>
        <w:t xml:space="preserve"> </w:t>
      </w:r>
    </w:p>
    <w:p w14:paraId="3C49AC36" w14:textId="77777777" w:rsidR="00162547" w:rsidRPr="003D6B6C" w:rsidRDefault="00162547" w:rsidP="006B145B">
      <w:pPr>
        <w:ind w:left="1134" w:hanging="1134"/>
        <w:jc w:val="both"/>
        <w:rPr>
          <w:rFonts w:ascii="Times New Roman" w:hAnsi="Times New Roman"/>
          <w:sz w:val="22"/>
          <w:szCs w:val="22"/>
        </w:rPr>
      </w:pP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4"/>
    </w:p>
    <w:p w14:paraId="3C3F21E5" w14:textId="77777777" w:rsidR="00162547"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p>
    <w:p w14:paraId="7E4EA9F7" w14:textId="77777777" w:rsidR="00162547" w:rsidRPr="00FA214C" w:rsidRDefault="00162547" w:rsidP="00162547">
      <w:pPr>
        <w:spacing w:before="0"/>
        <w:jc w:val="both"/>
        <w:rPr>
          <w:rFonts w:ascii="Times New Roman" w:hAnsi="Times New Roman"/>
          <w:sz w:val="22"/>
          <w:szCs w:val="22"/>
          <w:lang w:val="en-US"/>
        </w:rPr>
      </w:pPr>
      <w:r w:rsidRPr="00FA214C">
        <w:rPr>
          <w:rFonts w:ascii="Times New Roman" w:hAnsi="Times New Roman"/>
          <w:sz w:val="22"/>
          <w:szCs w:val="22"/>
          <w:lang w:val="en-US"/>
        </w:rPr>
        <w:t xml:space="preserve">The supplies shall be taken over by the Contracting Authority when they have been delivered in accordance with the Contract, have been installed or have been </w:t>
      </w:r>
      <w:proofErr w:type="gramStart"/>
      <w:r w:rsidRPr="00FA214C">
        <w:rPr>
          <w:rFonts w:ascii="Times New Roman" w:hAnsi="Times New Roman"/>
          <w:sz w:val="22"/>
          <w:szCs w:val="22"/>
          <w:lang w:val="en-US"/>
        </w:rPr>
        <w:t>commissioned as the case may be, have</w:t>
      </w:r>
      <w:proofErr w:type="gramEnd"/>
      <w:r w:rsidRPr="00FA214C">
        <w:rPr>
          <w:rFonts w:ascii="Times New Roman" w:hAnsi="Times New Roman"/>
          <w:sz w:val="22"/>
          <w:szCs w:val="22"/>
          <w:lang w:val="en-US"/>
        </w:rPr>
        <w:t xml:space="preserve"> been satisfactory passed the required tests, and a certificate of provisional acceptance has been issued or is deemed to be issued. The Contracting Authority may appoint its representative to perform provisional acceptance/inspection on its behalf.</w:t>
      </w:r>
    </w:p>
    <w:p w14:paraId="2ADB7376" w14:textId="77777777" w:rsidR="00162547" w:rsidRPr="00FA214C" w:rsidRDefault="00162547" w:rsidP="00162547">
      <w:pPr>
        <w:spacing w:before="0" w:after="0"/>
        <w:jc w:val="both"/>
        <w:rPr>
          <w:rFonts w:ascii="Times New Roman" w:hAnsi="Times New Roman"/>
          <w:sz w:val="22"/>
          <w:szCs w:val="22"/>
        </w:rPr>
      </w:pPr>
      <w:r w:rsidRPr="00FA214C">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FE9485D" w14:textId="77777777" w:rsidR="00162547" w:rsidRPr="00FA214C" w:rsidRDefault="00162547" w:rsidP="00162547">
      <w:pPr>
        <w:jc w:val="both"/>
        <w:rPr>
          <w:rFonts w:ascii="Times New Roman" w:hAnsi="Times New Roman"/>
          <w:sz w:val="22"/>
          <w:szCs w:val="22"/>
        </w:rPr>
      </w:pPr>
      <w:r w:rsidRPr="00FA214C">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5"/>
      <w:r w:rsidR="00177A94" w:rsidRPr="003D6B6C">
        <w:rPr>
          <w:rFonts w:ascii="Times New Roman" w:hAnsi="Times New Roman"/>
          <w:b/>
          <w:sz w:val="24"/>
          <w:szCs w:val="24"/>
        </w:rPr>
        <w:t xml:space="preserve"> obligations</w:t>
      </w:r>
    </w:p>
    <w:p w14:paraId="18C4D014" w14:textId="6DC939B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133B16" w:rsidRPr="00FA214C">
        <w:rPr>
          <w:rFonts w:ascii="Times New Roman" w:hAnsi="Times New Roman"/>
          <w:sz w:val="22"/>
          <w:szCs w:val="22"/>
          <w:lang w:val="en-US"/>
        </w:rPr>
        <w:t xml:space="preserve">Where commercial warranty (issued by the manufacturer of </w:t>
      </w:r>
      <w:proofErr w:type="gramStart"/>
      <w:r w:rsidR="00133B16" w:rsidRPr="00FA214C">
        <w:rPr>
          <w:rFonts w:ascii="Times New Roman" w:hAnsi="Times New Roman"/>
          <w:sz w:val="22"/>
          <w:szCs w:val="22"/>
          <w:lang w:val="en-US"/>
        </w:rPr>
        <w:t>particular item/product</w:t>
      </w:r>
      <w:proofErr w:type="gramEnd"/>
      <w:r w:rsidR="00133B16" w:rsidRPr="00FA214C">
        <w:rPr>
          <w:rFonts w:ascii="Times New Roman" w:hAnsi="Times New Roman"/>
          <w:sz w:val="22"/>
          <w:szCs w:val="22"/>
          <w:lang w:val="en-US"/>
        </w:rPr>
        <w:t>) is longer than the below mentioned warranty of two years after provisional acceptance, the Contractor will provide complete support to the Beneficiary in contacting the manufacturer.</w:t>
      </w:r>
    </w:p>
    <w:p w14:paraId="516F443D" w14:textId="4795572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t xml:space="preserve">The warranty must remain valid </w:t>
      </w:r>
      <w:r w:rsidRPr="00133B16">
        <w:rPr>
          <w:rFonts w:ascii="Times New Roman" w:hAnsi="Times New Roman"/>
          <w:sz w:val="22"/>
          <w:szCs w:val="22"/>
        </w:rPr>
        <w:t xml:space="preserve">for </w:t>
      </w:r>
      <w:r w:rsidR="00133B16" w:rsidRPr="00133B16">
        <w:rPr>
          <w:rFonts w:ascii="Times New Roman" w:hAnsi="Times New Roman"/>
          <w:sz w:val="22"/>
          <w:szCs w:val="22"/>
        </w:rPr>
        <w:t>two</w:t>
      </w:r>
      <w:r w:rsidRPr="00133B16">
        <w:rPr>
          <w:rFonts w:ascii="Times New Roman" w:hAnsi="Times New Roman"/>
          <w:sz w:val="22"/>
          <w:szCs w:val="22"/>
        </w:rPr>
        <w:t xml:space="preserve"> </w:t>
      </w:r>
      <w:r w:rsidR="00133B16" w:rsidRPr="00133B16">
        <w:rPr>
          <w:rFonts w:ascii="Times New Roman" w:hAnsi="Times New Roman"/>
          <w:sz w:val="22"/>
          <w:szCs w:val="22"/>
        </w:rPr>
        <w:t>years</w:t>
      </w:r>
      <w:r w:rsidRPr="00133B16">
        <w:rPr>
          <w:rFonts w:ascii="Times New Roman" w:hAnsi="Times New Roman"/>
          <w:sz w:val="22"/>
          <w:szCs w:val="22"/>
        </w:rPr>
        <w:t xml:space="preserve"> after</w:t>
      </w:r>
      <w:r w:rsidRPr="003D6B6C">
        <w:rPr>
          <w:rFonts w:ascii="Times New Roman" w:hAnsi="Times New Roman"/>
          <w:sz w:val="22"/>
          <w:szCs w:val="22"/>
        </w:rPr>
        <w:t xml:space="preserve">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6" w:name="_Toc119839451"/>
      <w:bookmarkStart w:id="2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6"/>
      <w:bookmarkEnd w:id="27"/>
    </w:p>
    <w:p w14:paraId="09B87FDF" w14:textId="429587F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133B16" w:rsidRPr="00FA214C">
        <w:rPr>
          <w:rFonts w:ascii="Times New Roman" w:hAnsi="Times New Roman"/>
          <w:sz w:val="22"/>
          <w:szCs w:val="22"/>
        </w:rPr>
        <w:t xml:space="preserve">The Contractor shall ensure the provision of a reliable local after-sales service, guaranteeing maintenance, technical support, and the prompt supply of spare parts and consumables for the offered equipment following provisional </w:t>
      </w:r>
      <w:proofErr w:type="spellStart"/>
      <w:r w:rsidR="00133B16" w:rsidRPr="00FA214C">
        <w:rPr>
          <w:rFonts w:ascii="Times New Roman" w:hAnsi="Times New Roman"/>
          <w:sz w:val="22"/>
          <w:szCs w:val="22"/>
        </w:rPr>
        <w:t>acceptance.In</w:t>
      </w:r>
      <w:proofErr w:type="spellEnd"/>
      <w:r w:rsidR="00133B16" w:rsidRPr="00FA214C">
        <w:rPr>
          <w:rFonts w:ascii="Times New Roman" w:hAnsi="Times New Roman"/>
          <w:sz w:val="22"/>
          <w:szCs w:val="22"/>
        </w:rPr>
        <w:t xml:space="preserve"> the event of termination of production of the spare parts, advance notification to the Beneficiary will be sent to allow procurement of the parts required for 5 years from the date of manufacture. </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8"/>
    </w:p>
    <w:p w14:paraId="383FF00A" w14:textId="4481DB04" w:rsidR="0047783A" w:rsidRDefault="0047783A" w:rsidP="00133B16">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133B16" w:rsidRPr="00FA214C">
        <w:rPr>
          <w:rFonts w:ascii="Times New Roman" w:hAnsi="Times New Roman"/>
          <w:sz w:val="22"/>
          <w:szCs w:val="22"/>
        </w:rPr>
        <w:t xml:space="preserve">Any disputes arising out of or relating to this contract which cannot be settled otherwise shall be referred to the exclusive jurisdiction of the Republic of Serbia in accordance with the national legislation of the state of the contracting authority. </w:t>
      </w:r>
    </w:p>
    <w:p w14:paraId="53F35545" w14:textId="1C0D7E49" w:rsidR="00407C90" w:rsidRPr="00133B16" w:rsidRDefault="00407C90" w:rsidP="00B5440B">
      <w:pPr>
        <w:keepNext/>
        <w:keepLines/>
        <w:tabs>
          <w:tab w:val="left" w:pos="1134"/>
        </w:tabs>
        <w:spacing w:before="240" w:after="0"/>
        <w:ind w:left="1134" w:hanging="1134"/>
        <w:rPr>
          <w:rFonts w:ascii="Times New Roman" w:hAnsi="Times New Roman"/>
          <w:b/>
          <w:sz w:val="24"/>
          <w:szCs w:val="24"/>
        </w:rPr>
      </w:pPr>
      <w:r w:rsidRPr="00133B16">
        <w:rPr>
          <w:rFonts w:ascii="Times New Roman" w:hAnsi="Times New Roman"/>
          <w:b/>
          <w:sz w:val="24"/>
          <w:szCs w:val="24"/>
        </w:rPr>
        <w:t>Article 44</w:t>
      </w:r>
      <w:r w:rsidRPr="00133B16">
        <w:rPr>
          <w:rFonts w:ascii="Times New Roman" w:hAnsi="Times New Roman"/>
          <w:b/>
          <w:sz w:val="24"/>
          <w:szCs w:val="24"/>
        </w:rPr>
        <w:tab/>
        <w:t xml:space="preserve">Data </w:t>
      </w:r>
      <w:r w:rsidR="00686E07" w:rsidRPr="00133B16">
        <w:rPr>
          <w:rFonts w:ascii="Times New Roman" w:hAnsi="Times New Roman"/>
          <w:b/>
          <w:sz w:val="24"/>
          <w:szCs w:val="24"/>
        </w:rPr>
        <w:t>p</w:t>
      </w:r>
      <w:r w:rsidRPr="00133B16">
        <w:rPr>
          <w:rFonts w:ascii="Times New Roman" w:hAnsi="Times New Roman"/>
          <w:b/>
          <w:sz w:val="24"/>
          <w:szCs w:val="24"/>
        </w:rPr>
        <w:t>rotection</w:t>
      </w:r>
    </w:p>
    <w:p w14:paraId="21A6D968" w14:textId="24135198" w:rsidR="00C05EBE" w:rsidRPr="00133B16" w:rsidRDefault="00C05EBE" w:rsidP="00C05EBE">
      <w:pPr>
        <w:jc w:val="both"/>
        <w:rPr>
          <w:rFonts w:ascii="Times New Roman" w:hAnsi="Times New Roman"/>
          <w:sz w:val="22"/>
          <w:szCs w:val="22"/>
        </w:rPr>
      </w:pPr>
      <w:proofErr w:type="gramStart"/>
      <w:r w:rsidRPr="00B5440B">
        <w:rPr>
          <w:rFonts w:ascii="Times New Roman" w:hAnsi="Times New Roman"/>
          <w:sz w:val="22"/>
          <w:szCs w:val="22"/>
        </w:rPr>
        <w:t xml:space="preserve">For </w:t>
      </w:r>
      <w:r w:rsidRPr="00133B16">
        <w:rPr>
          <w:rFonts w:ascii="Times New Roman" w:hAnsi="Times New Roman"/>
          <w:sz w:val="22"/>
          <w:szCs w:val="22"/>
        </w:rPr>
        <w:t>the purpose of</w:t>
      </w:r>
      <w:proofErr w:type="gramEnd"/>
      <w:r w:rsidRPr="00133B16">
        <w:rPr>
          <w:rFonts w:ascii="Times New Roman" w:hAnsi="Times New Roman"/>
          <w:color w:val="0000FF"/>
          <w:sz w:val="22"/>
          <w:szCs w:val="22"/>
          <w:u w:val="single"/>
        </w:rPr>
        <w:t xml:space="preserve"> </w:t>
      </w:r>
      <w:r w:rsidRPr="00133B16">
        <w:rPr>
          <w:rFonts w:ascii="Times New Roman" w:hAnsi="Times New Roman"/>
          <w:sz w:val="22"/>
          <w:szCs w:val="22"/>
          <w:lang w:eastAsia="en-GB"/>
        </w:rPr>
        <w:t xml:space="preserve">Article 44 of the </w:t>
      </w:r>
      <w:r w:rsidRPr="00133B16">
        <w:rPr>
          <w:rFonts w:ascii="Times New Roman" w:hAnsi="Times New Roman"/>
          <w:sz w:val="22"/>
          <w:szCs w:val="22"/>
        </w:rPr>
        <w:t>general conditions, for the part of the data transferred by the contracting authority to the European Commission:</w:t>
      </w:r>
    </w:p>
    <w:p w14:paraId="4CB26B0B" w14:textId="1088A56F" w:rsidR="00C05EBE" w:rsidRPr="00133B16"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133B16">
        <w:rPr>
          <w:rFonts w:ascii="Times New Roman" w:hAnsi="Times New Roman"/>
          <w:sz w:val="22"/>
          <w:szCs w:val="22"/>
        </w:rPr>
        <w:t>(</w:t>
      </w:r>
      <w:r w:rsidR="00133B16" w:rsidRPr="00133B16">
        <w:rPr>
          <w:rFonts w:ascii="Times New Roman" w:hAnsi="Times New Roman"/>
          <w:sz w:val="22"/>
          <w:szCs w:val="22"/>
        </w:rPr>
        <w:t>a</w:t>
      </w:r>
      <w:r w:rsidRPr="00133B16">
        <w:rPr>
          <w:rFonts w:ascii="Times New Roman" w:hAnsi="Times New Roman"/>
          <w:sz w:val="22"/>
          <w:szCs w:val="22"/>
        </w:rPr>
        <w:t>)</w:t>
      </w:r>
      <w:r w:rsidR="005A123C" w:rsidRPr="00133B16">
        <w:rPr>
          <w:rFonts w:ascii="Times New Roman" w:hAnsi="Times New Roman"/>
          <w:sz w:val="22"/>
          <w:szCs w:val="22"/>
        </w:rPr>
        <w:tab/>
      </w:r>
      <w:r w:rsidRPr="00133B16">
        <w:rPr>
          <w:rFonts w:ascii="Times New Roman" w:hAnsi="Times New Roman"/>
          <w:sz w:val="22"/>
          <w:szCs w:val="22"/>
          <w:lang w:eastAsia="en-GB"/>
        </w:rPr>
        <w:t xml:space="preserve">the </w:t>
      </w:r>
      <w:r w:rsidR="00830347" w:rsidRPr="00133B16">
        <w:rPr>
          <w:rFonts w:ascii="Times New Roman" w:hAnsi="Times New Roman"/>
          <w:sz w:val="22"/>
          <w:szCs w:val="22"/>
          <w:lang w:eastAsia="en-GB"/>
        </w:rPr>
        <w:t xml:space="preserve">privacy statement </w:t>
      </w:r>
      <w:r w:rsidRPr="00133B16">
        <w:rPr>
          <w:rFonts w:ascii="Times New Roman" w:hAnsi="Times New Roman"/>
          <w:sz w:val="22"/>
          <w:szCs w:val="22"/>
          <w:lang w:eastAsia="en-GB"/>
        </w:rPr>
        <w:t>is available at</w:t>
      </w:r>
      <w:r w:rsidRPr="00133B16">
        <w:rPr>
          <w:rFonts w:ascii="Times New Roman" w:hAnsi="Times New Roman"/>
          <w:sz w:val="22"/>
          <w:szCs w:val="22"/>
          <w:lang w:val="sv-SE"/>
        </w:rPr>
        <w:t xml:space="preserve"> </w:t>
      </w:r>
      <w:hyperlink r:id="rId9" w:anchor="Annexes-AnnexesA(Ch.2):General" w:history="1">
        <w:r w:rsidRPr="00133B16">
          <w:rPr>
            <w:rFonts w:ascii="Times New Roman" w:hAnsi="Times New Roman"/>
            <w:color w:val="0000FF"/>
            <w:sz w:val="22"/>
            <w:szCs w:val="22"/>
            <w:u w:val="single"/>
            <w:lang w:val="sv-SE"/>
          </w:rPr>
          <w:t>https://wikis.ec.europa.eu/display/ExactExternalWiki/Annexes#Annexes-AnnexesA(Ch.2):General</w:t>
        </w:r>
      </w:hyperlink>
      <w:r w:rsidR="0043240C" w:rsidRPr="00133B16">
        <w:rPr>
          <w:rFonts w:ascii="Times New Roman" w:hAnsi="Times New Roman"/>
          <w:color w:val="0000FF"/>
          <w:sz w:val="22"/>
          <w:szCs w:val="22"/>
          <w:u w:val="single"/>
          <w:lang w:val="sv-SE"/>
        </w:rPr>
        <w:t>]</w:t>
      </w:r>
    </w:p>
    <w:p w14:paraId="5F3FDACE" w14:textId="653F4A78" w:rsidR="009F7E6A" w:rsidRPr="00133B16" w:rsidRDefault="009F7E6A" w:rsidP="00B5440B">
      <w:pPr>
        <w:ind w:left="567" w:hanging="567"/>
        <w:jc w:val="both"/>
        <w:rPr>
          <w:rFonts w:ascii="Times New Roman" w:hAnsi="Times New Roman"/>
          <w:sz w:val="22"/>
          <w:szCs w:val="22"/>
        </w:rPr>
      </w:pPr>
      <w:r w:rsidRPr="00133B16">
        <w:rPr>
          <w:rFonts w:ascii="Times New Roman" w:hAnsi="Times New Roman"/>
          <w:sz w:val="22"/>
          <w:szCs w:val="22"/>
        </w:rPr>
        <w:t>1.</w:t>
      </w:r>
      <w:r w:rsidR="005A123C" w:rsidRPr="00133B16">
        <w:rPr>
          <w:rFonts w:ascii="Times New Roman" w:hAnsi="Times New Roman"/>
          <w:sz w:val="22"/>
          <w:szCs w:val="22"/>
        </w:rPr>
        <w:tab/>
      </w:r>
      <w:r w:rsidRPr="00133B16">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B35C178" w:rsidR="009F7E6A" w:rsidRPr="00F4288C" w:rsidRDefault="009F7E6A" w:rsidP="00B5440B">
      <w:pPr>
        <w:ind w:left="567" w:hanging="567"/>
        <w:jc w:val="both"/>
        <w:rPr>
          <w:rFonts w:ascii="Times New Roman" w:hAnsi="Times New Roman"/>
          <w:sz w:val="22"/>
          <w:szCs w:val="22"/>
          <w:u w:val="single"/>
        </w:rPr>
      </w:pPr>
      <w:r w:rsidRPr="00133B16">
        <w:rPr>
          <w:rFonts w:ascii="Times New Roman" w:hAnsi="Times New Roman"/>
          <w:sz w:val="22"/>
          <w:szCs w:val="22"/>
        </w:rPr>
        <w:t>2.</w:t>
      </w:r>
      <w:r w:rsidR="005A123C" w:rsidRPr="00133B16">
        <w:rPr>
          <w:rFonts w:ascii="Times New Roman" w:hAnsi="Times New Roman"/>
          <w:sz w:val="22"/>
          <w:szCs w:val="22"/>
        </w:rPr>
        <w:tab/>
      </w:r>
      <w:r w:rsidRPr="00133B16">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133B16">
        <w:rPr>
          <w:rFonts w:ascii="Times New Roman" w:hAnsi="Times New Roman"/>
          <w:sz w:val="22"/>
          <w:szCs w:val="22"/>
        </w:rPr>
        <w:t>personnel</w:t>
      </w:r>
      <w:r w:rsidRPr="00133B16">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33B16">
        <w:rPr>
          <w:rStyle w:val="FootnoteReference"/>
          <w:rFonts w:ascii="Times New Roman" w:hAnsi="Times New Roman"/>
          <w:sz w:val="22"/>
          <w:szCs w:val="22"/>
        </w:rPr>
        <w:footnoteReference w:id="5"/>
      </w:r>
      <w:r w:rsidRPr="00133B16">
        <w:rPr>
          <w:rFonts w:ascii="Times New Roman" w:hAnsi="Times New Roman"/>
          <w:sz w:val="22"/>
          <w:szCs w:val="22"/>
        </w:rPr>
        <w:t xml:space="preserve"> and as detailed in the specific privacy statement published at </w:t>
      </w:r>
      <w:proofErr w:type="spellStart"/>
      <w:r w:rsidRPr="00133B16">
        <w:rPr>
          <w:rFonts w:ascii="Times New Roman" w:hAnsi="Times New Roman"/>
          <w:sz w:val="22"/>
          <w:szCs w:val="22"/>
        </w:rPr>
        <w:t>ePRAG</w:t>
      </w:r>
      <w:proofErr w:type="spellEnd"/>
      <w:r w:rsidRPr="00133B16">
        <w:rPr>
          <w:rFonts w:ascii="Times New Roman" w:hAnsi="Times New Roman"/>
          <w:sz w:val="22"/>
          <w:szCs w:val="22"/>
        </w:rPr>
        <w:t>.</w:t>
      </w:r>
    </w:p>
    <w:p w14:paraId="0BB191E9" w14:textId="15EAC53D" w:rsidR="00B605B6" w:rsidRDefault="00B605B6" w:rsidP="00872DA7">
      <w:pPr>
        <w:pStyle w:val="ListNumber"/>
        <w:numPr>
          <w:ilvl w:val="0"/>
          <w:numId w:val="0"/>
        </w:numPr>
        <w:spacing w:before="240"/>
        <w:ind w:left="1134" w:hanging="1134"/>
        <w:rPr>
          <w:b/>
          <w:szCs w:val="24"/>
        </w:rPr>
      </w:pPr>
      <w:r w:rsidRPr="00133B16">
        <w:rPr>
          <w:b/>
          <w:szCs w:val="24"/>
        </w:rPr>
        <w:t>Article 45</w:t>
      </w:r>
      <w:r w:rsidR="00133B16">
        <w:rPr>
          <w:b/>
          <w:szCs w:val="24"/>
        </w:rPr>
        <w:t xml:space="preserve">. </w:t>
      </w:r>
      <w:r w:rsidRPr="00133B16">
        <w:rPr>
          <w:b/>
          <w:szCs w:val="24"/>
        </w:rPr>
        <w:tab/>
        <w:t>Further additional clauses</w:t>
      </w:r>
    </w:p>
    <w:p w14:paraId="7482091A" w14:textId="77777777" w:rsidR="00133B16" w:rsidRPr="00FA214C" w:rsidRDefault="00133B16" w:rsidP="00133B16">
      <w:pPr>
        <w:pStyle w:val="ListNumber"/>
        <w:numPr>
          <w:ilvl w:val="0"/>
          <w:numId w:val="0"/>
        </w:numPr>
        <w:rPr>
          <w:sz w:val="22"/>
          <w:szCs w:val="22"/>
        </w:rPr>
      </w:pPr>
      <w:r w:rsidRPr="00FA214C">
        <w:rPr>
          <w:sz w:val="22"/>
          <w:szCs w:val="22"/>
        </w:rPr>
        <w:t xml:space="preserve">Not applicable. </w:t>
      </w:r>
    </w:p>
    <w:p w14:paraId="5F12EFB0" w14:textId="77777777" w:rsidR="00133B16" w:rsidRDefault="00133B16" w:rsidP="00872DA7">
      <w:pPr>
        <w:pStyle w:val="ListNumber"/>
        <w:numPr>
          <w:ilvl w:val="0"/>
          <w:numId w:val="0"/>
        </w:numPr>
        <w:spacing w:before="240"/>
        <w:ind w:left="1134" w:hanging="1134"/>
        <w:rPr>
          <w:b/>
          <w:szCs w:val="24"/>
        </w:rPr>
      </w:pPr>
    </w:p>
    <w:sectPr w:rsidR="00133B16" w:rsidSect="00B5440B">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F7D08" w14:textId="77777777" w:rsidR="006A11B0" w:rsidRPr="006A5F84" w:rsidRDefault="006A11B0">
      <w:r w:rsidRPr="006A5F84">
        <w:separator/>
      </w:r>
    </w:p>
  </w:endnote>
  <w:endnote w:type="continuationSeparator" w:id="0">
    <w:p w14:paraId="00436B56" w14:textId="77777777" w:rsidR="006A11B0" w:rsidRPr="006A5F84" w:rsidRDefault="006A11B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3CC5A" w14:textId="77777777" w:rsidR="006A11B0" w:rsidRPr="006A5F84" w:rsidRDefault="006A11B0">
      <w:r w:rsidRPr="006A5F84">
        <w:separator/>
      </w:r>
    </w:p>
  </w:footnote>
  <w:footnote w:type="continuationSeparator" w:id="0">
    <w:p w14:paraId="34FFC583" w14:textId="77777777" w:rsidR="006A11B0" w:rsidRPr="006A5F84" w:rsidRDefault="006A11B0">
      <w:r w:rsidRPr="006A5F84">
        <w:continuationSeparator/>
      </w:r>
    </w:p>
  </w:footnote>
  <w:footnote w:id="1">
    <w:p w14:paraId="473FAD69" w14:textId="65B982EE" w:rsidR="00297C14" w:rsidRPr="00C73F87" w:rsidRDefault="00297C14" w:rsidP="009D0375">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21F84736" w14:textId="77777777" w:rsidR="002E7A27" w:rsidRPr="00B5440B" w:rsidRDefault="002E7A27" w:rsidP="002E7A27">
      <w:pPr>
        <w:pStyle w:val="FootnoteText"/>
        <w:rPr>
          <w:lang w:val="en-IE"/>
        </w:rPr>
      </w:pPr>
      <w:r>
        <w:rPr>
          <w:rStyle w:val="FootnoteReference"/>
        </w:rPr>
        <w:footnoteRef/>
      </w:r>
      <w:r w:rsidRPr="00B5440B">
        <w:rPr>
          <w:lang w:val="en-IE"/>
        </w:rPr>
        <w:tab/>
      </w:r>
      <w:bookmarkStart w:id="21" w:name="_Hlk167465553"/>
      <w:r w:rsidRPr="00B5440B">
        <w:rPr>
          <w:highlight w:val="yellow"/>
          <w:lang w:val="en-IE"/>
        </w:rPr>
        <w:t>The first-prefinancing payment shall not be subject to the receipt of an invoice and no invoice is required. In case the use of the electronic exchange system under Article 4.4 of the special conditions is not activated, the contractor must send an invoice for the pre-financing payment.</w:t>
      </w:r>
      <w:r w:rsidRPr="00B5440B">
        <w:rPr>
          <w:lang w:val="en-IE"/>
        </w:rPr>
        <w:t xml:space="preserve"> </w:t>
      </w:r>
      <w:bookmarkEnd w:id="21"/>
      <w:r w:rsidRPr="00B5440B">
        <w:rPr>
          <w:highlight w:val="yellow"/>
          <w:lang w:val="en-IE"/>
        </w:rPr>
        <w:t>Otherwise, the first-prefinancing payment shall not be subject to the receipt of an invoice and no invoice is required.</w:t>
      </w:r>
    </w:p>
  </w:footnote>
  <w:footnote w:id="3">
    <w:p w14:paraId="12A43801" w14:textId="77777777" w:rsidR="002E7A27" w:rsidRPr="00B5440B" w:rsidRDefault="002E7A27" w:rsidP="002E7A27">
      <w:pPr>
        <w:pStyle w:val="FootnoteText"/>
        <w:rPr>
          <w:highlight w:val="yellow"/>
          <w:lang w:val="en-IE"/>
        </w:rPr>
      </w:pPr>
      <w:r>
        <w:rPr>
          <w:rStyle w:val="FootnoteReference"/>
        </w:rPr>
        <w:footnoteRef/>
      </w:r>
      <w:r w:rsidRPr="00B5440B">
        <w:rPr>
          <w:lang w:val="en-IE"/>
        </w:rPr>
        <w:tab/>
      </w:r>
      <w:r w:rsidRPr="004D7349">
        <w:rPr>
          <w:highlight w:val="yellow"/>
          <w:lang w:val="en-IE"/>
        </w:rPr>
        <w:t>See internal provision in the Companion Chapter 9.</w:t>
      </w:r>
    </w:p>
  </w:footnote>
  <w:footnote w:id="4">
    <w:p w14:paraId="6DE1FC9D" w14:textId="47D0C92C" w:rsidR="00BD1517" w:rsidRPr="00B5440B" w:rsidRDefault="00BD1517" w:rsidP="009D0375">
      <w:pPr>
        <w:pStyle w:val="FootnoteText"/>
        <w:rPr>
          <w:lang w:val="en-IE"/>
        </w:rPr>
      </w:pPr>
      <w:r w:rsidRPr="009B30FB">
        <w:rPr>
          <w:rStyle w:val="FootnoteReference"/>
        </w:rPr>
        <w:footnoteRef/>
      </w:r>
      <w:r w:rsidR="009D0375" w:rsidRPr="00B5440B">
        <w:rPr>
          <w:lang w:val="en-IE"/>
        </w:rPr>
        <w:tab/>
      </w:r>
      <w:r w:rsidRPr="00B5440B">
        <w:rPr>
          <w:highlight w:val="yellow"/>
          <w:lang w:val="en-IE"/>
        </w:rPr>
        <w:t>&lt;</w:t>
      </w:r>
      <w:r w:rsidRPr="00D50334">
        <w:rPr>
          <w:lang w:val="en-IE"/>
        </w:rPr>
        <w:t xml:space="preserve">DDP (Delivered Duty Paid)&gt;/&lt;DAP (Delivered </w:t>
      </w:r>
      <w:proofErr w:type="gramStart"/>
      <w:r w:rsidRPr="00D50334">
        <w:rPr>
          <w:lang w:val="en-IE"/>
        </w:rPr>
        <w:t>At</w:t>
      </w:r>
      <w:proofErr w:type="gramEnd"/>
      <w:r w:rsidRPr="00D50334">
        <w:rPr>
          <w:lang w:val="en-IE"/>
        </w:rPr>
        <w:t xml:space="preserve"> Place)&gt;</w:t>
      </w:r>
      <w:r w:rsidRPr="00B5440B">
        <w:rPr>
          <w:sz w:val="22"/>
          <w:szCs w:val="22"/>
          <w:lang w:val="en-IE"/>
        </w:rPr>
        <w:t xml:space="preserve"> </w:t>
      </w:r>
      <w:r w:rsidRPr="00B5440B">
        <w:rPr>
          <w:lang w:val="en-IE"/>
        </w:rPr>
        <w:t xml:space="preserve">- Incoterms 2020 International Chamber of Commerce - </w:t>
      </w:r>
      <w:hyperlink r:id="rId2" w:history="1">
        <w:r w:rsidRPr="001E08E3">
          <w:rPr>
            <w:rStyle w:val="Hyperlink"/>
            <w:lang w:val="en-GB"/>
          </w:rPr>
          <w:t>http://www.iccwbo.org/incoterms/</w:t>
        </w:r>
      </w:hyperlink>
    </w:p>
  </w:footnote>
  <w:footnote w:id="5">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0"/>
  </w:num>
  <w:num w:numId="2" w16cid:durableId="818964447">
    <w:abstractNumId w:val="24"/>
  </w:num>
  <w:num w:numId="3" w16cid:durableId="1091316594">
    <w:abstractNumId w:val="9"/>
  </w:num>
  <w:num w:numId="4" w16cid:durableId="325011496">
    <w:abstractNumId w:val="12"/>
  </w:num>
  <w:num w:numId="5" w16cid:durableId="1126629808">
    <w:abstractNumId w:val="26"/>
  </w:num>
  <w:num w:numId="6" w16cid:durableId="2105033888">
    <w:abstractNumId w:val="7"/>
  </w:num>
  <w:num w:numId="7" w16cid:durableId="974914910">
    <w:abstractNumId w:val="4"/>
  </w:num>
  <w:num w:numId="8" w16cid:durableId="1185364038">
    <w:abstractNumId w:val="1"/>
  </w:num>
  <w:num w:numId="9" w16cid:durableId="1801801330">
    <w:abstractNumId w:val="13"/>
  </w:num>
  <w:num w:numId="10" w16cid:durableId="205871635">
    <w:abstractNumId w:val="3"/>
  </w:num>
  <w:num w:numId="11" w16cid:durableId="1573999615">
    <w:abstractNumId w:val="22"/>
  </w:num>
  <w:num w:numId="12" w16cid:durableId="310447625">
    <w:abstractNumId w:val="11"/>
  </w:num>
  <w:num w:numId="13" w16cid:durableId="2093429629">
    <w:abstractNumId w:val="5"/>
  </w:num>
  <w:num w:numId="14" w16cid:durableId="892740171">
    <w:abstractNumId w:val="19"/>
  </w:num>
  <w:num w:numId="15" w16cid:durableId="1700667367">
    <w:abstractNumId w:val="20"/>
  </w:num>
  <w:num w:numId="16" w16cid:durableId="787310804">
    <w:abstractNumId w:val="6"/>
  </w:num>
  <w:num w:numId="17" w16cid:durableId="1691101858">
    <w:abstractNumId w:val="15"/>
  </w:num>
  <w:num w:numId="18" w16cid:durableId="860165109">
    <w:abstractNumId w:val="8"/>
  </w:num>
  <w:num w:numId="19" w16cid:durableId="1202285303">
    <w:abstractNumId w:val="2"/>
  </w:num>
  <w:num w:numId="20" w16cid:durableId="988704147">
    <w:abstractNumId w:val="23"/>
  </w:num>
  <w:num w:numId="21" w16cid:durableId="1560508426">
    <w:abstractNumId w:val="16"/>
  </w:num>
  <w:num w:numId="22" w16cid:durableId="1179002257">
    <w:abstractNumId w:val="14"/>
  </w:num>
  <w:num w:numId="23" w16cid:durableId="229584476">
    <w:abstractNumId w:val="0"/>
  </w:num>
  <w:num w:numId="24" w16cid:durableId="1334186439">
    <w:abstractNumId w:val="21"/>
  </w:num>
  <w:num w:numId="25" w16cid:durableId="1944266987">
    <w:abstractNumId w:val="27"/>
  </w:num>
  <w:num w:numId="26" w16cid:durableId="173958389">
    <w:abstractNumId w:val="17"/>
  </w:num>
  <w:num w:numId="27" w16cid:durableId="105253313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33B16"/>
    <w:rsid w:val="00144E89"/>
    <w:rsid w:val="00146589"/>
    <w:rsid w:val="0014659F"/>
    <w:rsid w:val="00150767"/>
    <w:rsid w:val="00150EC7"/>
    <w:rsid w:val="001515E4"/>
    <w:rsid w:val="001536B3"/>
    <w:rsid w:val="00154A06"/>
    <w:rsid w:val="00154F15"/>
    <w:rsid w:val="00155623"/>
    <w:rsid w:val="00157C6D"/>
    <w:rsid w:val="00157DEE"/>
    <w:rsid w:val="00162547"/>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E7A27"/>
    <w:rsid w:val="002F0BB0"/>
    <w:rsid w:val="002F1222"/>
    <w:rsid w:val="002F3C0E"/>
    <w:rsid w:val="003001D2"/>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66A21"/>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7A2"/>
    <w:rsid w:val="004D2FD8"/>
    <w:rsid w:val="004D33C9"/>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11B0"/>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D1D83"/>
    <w:rsid w:val="008E007A"/>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3F80"/>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5D2C"/>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21F3B"/>
    <w:rsid w:val="00C302E1"/>
    <w:rsid w:val="00C3235B"/>
    <w:rsid w:val="00C34E40"/>
    <w:rsid w:val="00C41328"/>
    <w:rsid w:val="00C41919"/>
    <w:rsid w:val="00C45D2B"/>
    <w:rsid w:val="00C52305"/>
    <w:rsid w:val="00C61312"/>
    <w:rsid w:val="00C65920"/>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334"/>
    <w:rsid w:val="00D50FCB"/>
    <w:rsid w:val="00D52CBF"/>
    <w:rsid w:val="00D541A5"/>
    <w:rsid w:val="00D576CA"/>
    <w:rsid w:val="00D60913"/>
    <w:rsid w:val="00D662AA"/>
    <w:rsid w:val="00D66F04"/>
    <w:rsid w:val="00D678AC"/>
    <w:rsid w:val="00D71AF3"/>
    <w:rsid w:val="00D75213"/>
    <w:rsid w:val="00D75E7A"/>
    <w:rsid w:val="00D7711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ungary-serbia.eu/download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TotalTime>
  <Pages>8</Pages>
  <Words>2458</Words>
  <Characters>13623</Characters>
  <Application>Microsoft Office Word</Application>
  <DocSecurity>0</DocSecurity>
  <Lines>272</Lines>
  <Paragraphs>151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15930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consulting@arthurbergmann.rs</cp:lastModifiedBy>
  <cp:revision>110</cp:revision>
  <cp:lastPrinted>2014-02-11T14:32:00Z</cp:lastPrinted>
  <dcterms:created xsi:type="dcterms:W3CDTF">2018-12-18T11:40:00Z</dcterms:created>
  <dcterms:modified xsi:type="dcterms:W3CDTF">2025-03-17T13:23:00Z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y fmtid="{D5CDD505-2E9C-101B-9397-08002B2CF9AE}" pid="10" name="GrammarlyDocumentId">
    <vt:lpwstr>d7de17bca5a12e1d0419b7f70f277935213c755c848e55b32b0f06d38d1a7db1</vt:lpwstr>
  </property>
</Properties>
</file>